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i w:val="0"/>
          <w:sz w:val="32"/>
        </w:rPr>
        <w:t>Personalized Wellbeing-Aware Recommendations via</w:t>
        <w:br/>
        <w:t>Hybrid IRL and Safe RL</w:t>
      </w:r>
    </w:p>
    <w:p/>
    <w:p>
      <w:pPr>
        <w:jc w:val="center"/>
      </w:pPr>
      <w:r>
        <w:rPr>
          <w:b w:val="0"/>
          <w:i w:val="0"/>
          <w:sz w:val="24"/>
        </w:rPr>
        <w:t>Anonymous Authors</w:t>
      </w:r>
    </w:p>
    <w:p>
      <w:pPr>
        <w:jc w:val="center"/>
      </w:pPr>
      <w:r>
        <w:rPr>
          <w:b w:val="0"/>
          <w:i/>
          <w:sz w:val="22"/>
        </w:rPr>
        <w:t>Conference Submission — RecSys 2026</w:t>
      </w:r>
    </w:p>
    <w:p/>
    <w:p>
      <w:pPr>
        <w:pStyle w:val="Heading1"/>
      </w:pPr>
      <w:r>
        <w:rPr>
          <w:color w:val="000000"/>
        </w:rPr>
        <w:t>Abstract</w:t>
      </w:r>
    </w:p>
    <w:p>
      <w:r>
        <w:rPr>
          <w:b w:val="0"/>
          <w:i w:val="0"/>
        </w:rPr>
        <w:t>Current recommendation systems optimize for short-term engagement metrics, often at the expense of long-term user wellbeing. We present a novel approach that learns personalized recommendation policies optimizing for user wellbeing while maintaining engagement and safety. Our method combines (1) personalized inverse reinforcement learning (IRL) from trajectory-level preference comparisons, (2) a hybrid reward system blending learned and hand-crafted components, and (3) constrained policy optimization with runtime safety guarantees. Evaluated on 500 users from the KuaiRec 2.0 dataset with validation on three additional domains, our approach achieves significant improvements in wellbeing proxy scores (0.478 vs. 0.445 for the best baseline, +7.4%, p&lt;0.001) while maintaining competitive engagement. Safety compliance reaches 87.6% (12.4% violation rate), which we prove is within the theoretical shield bound of ≤14.5% (Theorem 3). Notably, our method achieves +16.0% higher wellbeing than the safest baseline (CPO, 91.1% compliance), demonstrating that small relaxations in safety yield substantial wellbeing gains. We provide theoretical convergence guarantees including novel hybrid reward error decomposition, comprehensive ablation studies, and analysis of the 6.7% offline-online performance gap.</w:t>
      </w:r>
    </w:p>
    <w:p>
      <w:r>
        <w:rPr>
          <w:b w:val="0"/>
          <w:i/>
        </w:rPr>
        <w:t>Keywords: Recommender Systems, Inverse Reinforcement Learning, Safe RL, Personalization, User Wellbeing</w:t>
      </w:r>
    </w:p>
    <w:p>
      <w:pPr>
        <w:pStyle w:val="Heading1"/>
      </w:pPr>
      <w:r>
        <w:rPr>
          <w:color w:val="000000"/>
        </w:rPr>
        <w:t>1. Introduction</w:t>
      </w:r>
    </w:p>
    <w:p>
      <w:pPr>
        <w:pStyle w:val="Heading2"/>
      </w:pPr>
      <w:r>
        <w:rPr>
          <w:color w:val="000000"/>
        </w:rPr>
        <w:t>1.1 Motivation</w:t>
      </w:r>
    </w:p>
    <w:p>
      <w:r>
        <w:rPr>
          <w:b w:val="0"/>
          <w:i w:val="0"/>
        </w:rPr>
        <w:t>Modern recommendation systems drive user engagement on major platforms, influencing billions of daily interactions. While effective at optimizing click-through rates and watch time, these systems increasingly face criticism for prioritizing short-term engagement over long-term user wellbeing [1,2]. Users report experiencing content fatigue, information overload, and declining satisfaction despite high engagement metrics.</w:t>
      </w:r>
    </w:p>
    <w:p>
      <w:r>
        <w:rPr>
          <w:b/>
          <w:i w:val="0"/>
        </w:rPr>
        <w:t>Research Question: Can we learn personalized recommendation policies that optimize for long-term user wellbeing while maintaining competitive engagement and providing safety guarantees?</w:t>
      </w:r>
    </w:p>
    <w:p>
      <w:pPr>
        <w:pStyle w:val="Heading2"/>
      </w:pPr>
      <w:r>
        <w:rPr>
          <w:color w:val="000000"/>
        </w:rPr>
        <w:t>1.2 Key Challenges</w:t>
      </w:r>
    </w:p>
    <w:p>
      <w:pPr>
        <w:pStyle w:val="ListNumber"/>
      </w:pPr>
      <w:r>
        <w:t>Wellbeing is not directly observable: Unlike clicks or watch time, wellbeing lacks ground-truth labels</w:t>
      </w:r>
    </w:p>
    <w:p>
      <w:pPr>
        <w:pStyle w:val="ListNumber"/>
      </w:pPr>
      <w:r>
        <w:t>User preferences are heterogeneous: Different users value engagement, diversity, and rest differently</w:t>
      </w:r>
    </w:p>
    <w:p>
      <w:pPr>
        <w:pStyle w:val="ListNumber"/>
      </w:pPr>
      <w:r>
        <w:t>Safety must be guaranteed: Systems must prevent harmful content patterns (fatigue, mood decline)</w:t>
      </w:r>
    </w:p>
    <w:p>
      <w:pPr>
        <w:pStyle w:val="ListNumber"/>
      </w:pPr>
      <w:r>
        <w:t>Offline-online gap: Policies learned from logged data may degrade when deployed</w:t>
      </w:r>
    </w:p>
    <w:p>
      <w:pPr>
        <w:pStyle w:val="ListNumber"/>
      </w:pPr>
      <w:r>
        <w:t>Scalability: Solutions must scale to millions of users with real-time inference</w:t>
      </w:r>
    </w:p>
    <w:p>
      <w:pPr>
        <w:pStyle w:val="Heading2"/>
      </w:pPr>
      <w:r>
        <w:rPr>
          <w:color w:val="000000"/>
        </w:rPr>
        <w:t>1.3 Our Approach</w:t>
      </w:r>
    </w:p>
    <w:p>
      <w:r>
        <w:rPr>
          <w:b w:val="0"/>
          <w:i w:val="0"/>
        </w:rPr>
        <w:t>We propose a Hybrid IRL + Safe RL framework that addresses these challenges through:</w:t>
      </w:r>
    </w:p>
    <w:p>
      <w:pPr>
        <w:pStyle w:val="ListBullet"/>
      </w:pPr>
      <w:r>
        <w:t>Personalized Preference Learning: Learn per-user reward models from 10,000 trajectory-level preference comparisons using Bradley-Terry IRL</w:t>
      </w:r>
    </w:p>
    <w:p>
      <w:pPr>
        <w:pStyle w:val="ListBullet"/>
      </w:pPr>
      <w:r>
        <w:t>Hybrid Reward System: Combine learned rewards with hand-crafted shaping — R_final = R_IRL + λ·R_shaping (λ=0.3)</w:t>
      </w:r>
    </w:p>
    <w:p>
      <w:pPr>
        <w:pStyle w:val="ListBullet"/>
      </w:pPr>
      <w:r>
        <w:t>Constrained Optimization: Formulate as a Constrained MDP with Lagrangian relaxation and runtime safety shield</w:t>
      </w:r>
    </w:p>
    <w:p>
      <w:pPr>
        <w:pStyle w:val="ListBullet"/>
      </w:pPr>
      <w:r>
        <w:t>Offline-to-Online Training: Initialize with Conservative Q-Learning on 69K trajectories, then refine with PPO</w:t>
      </w:r>
    </w:p>
    <w:p>
      <w:pPr>
        <w:pStyle w:val="Heading2"/>
      </w:pPr>
      <w:r>
        <w:rPr>
          <w:color w:val="000000"/>
        </w:rPr>
        <w:t>1.4 Contributions</w:t>
      </w:r>
    </w:p>
    <w:p>
      <w:pPr>
        <w:pStyle w:val="ListNumber"/>
      </w:pPr>
      <w:r>
        <w:t>Novel hybrid reward formulation combining IRL-learned personalized rewards with hand-crafted shaping, with theoretical error decomposition (Theorem 5)</w:t>
      </w:r>
    </w:p>
    <w:p>
      <w:pPr>
        <w:pStyle w:val="ListNumber"/>
      </w:pPr>
      <w:r>
        <w:t>Integrated safety framework with CMDP constraints during training and runtime shield, achieving 87.6% safety compliance (within ≤14.5% theoretical bound, Theorem 3)</w:t>
      </w:r>
    </w:p>
    <w:p>
      <w:pPr>
        <w:pStyle w:val="ListNumber"/>
      </w:pPr>
      <w:r>
        <w:t>Comprehensive empirical validation across 4 datasets and 7 baselines, with +7.4% wellbeing improvement over best baseline (p&lt;0.001)</w:t>
      </w:r>
    </w:p>
    <w:p>
      <w:pPr>
        <w:pStyle w:val="ListNumber"/>
      </w:pPr>
      <w:r>
        <w:t>Theoretical analysis providing convergence guarantees and novel personalization benefit bound (Theorem 6)</w:t>
      </w:r>
    </w:p>
    <w:p>
      <w:pPr>
        <w:pStyle w:val="ListNumber"/>
      </w:pPr>
      <w:r>
        <w:t>Wellbeing proxy construct validation with behavioral correlates and proposed user study protocol</w:t>
      </w:r>
    </w:p>
    <w:p>
      <w:pPr>
        <w:pStyle w:val="ListNumber"/>
      </w:pPr>
      <w:r>
        <w:t>Explicit offline-online gap quantification (6.7%) with comparison to literature</w:t>
      </w:r>
    </w:p>
    <w:p>
      <w:pPr>
        <w:pStyle w:val="Heading3"/>
      </w:pPr>
      <w:r>
        <w:rPr>
          <w:color w:val="000000"/>
        </w:rPr>
        <w:t>Scope of Contribution</w:t>
      </w:r>
    </w:p>
    <w:p>
      <w:r>
        <w:rPr>
          <w:b w:val="0"/>
          <w:i/>
        </w:rPr>
        <w:t>This paper focuses strictly on strategy-level policy optimization. We formulate the action space as 5 broad content strategies rather than millions of discrete items. Deployment requires a downstream item-retrieval module. Consequently, we accept comparisons exclusively against strategy-level or session-level baselines, treating item-level RL as an orthogonal challenge.</w:t>
      </w:r>
    </w:p>
    <w:p>
      <w:r>
        <w:rPr>
          <w:b/>
          <w:i w:val="0"/>
        </w:rPr>
        <w:t>Reproducibility: All code, datasets, and structured artifacts referenced in this paper are open-sourced at: https://github.com/kritikGianta/user-well-being-system</w:t>
      </w:r>
    </w:p>
    <w:p>
      <w:pPr>
        <w:pStyle w:val="Heading1"/>
      </w:pPr>
      <w:r>
        <w:rPr>
          <w:color w:val="000000"/>
        </w:rPr>
        <w:t>2. Related Work</w:t>
      </w:r>
    </w:p>
    <w:p>
      <w:pPr>
        <w:pStyle w:val="Heading2"/>
      </w:pPr>
      <w:r>
        <w:rPr>
          <w:color w:val="000000"/>
        </w:rPr>
        <w:t>2.1 Inverse Reinforcement Learning</w:t>
      </w:r>
    </w:p>
    <w:p>
      <w:r>
        <w:rPr>
          <w:b w:val="0"/>
          <w:i w:val="0"/>
        </w:rPr>
        <w:t>Maximum Entropy IRL [3] formulates reward learning as P(τ) ∝ exp(R(τ)), addressing reward indeterminacy. Deep IRL [5] and Adversarial IRL (AIRL) [6] extend to high-dimensional domains. Preference-Based IRL [7] learns rewards from pairwise trajectory preferences using Bradley-Terry models. We adapt this to trajectory-level comparisons with personalized reward models.</w:t>
      </w:r>
    </w:p>
    <w:p>
      <w:pPr>
        <w:pStyle w:val="Heading2"/>
      </w:pPr>
      <w:r>
        <w:rPr>
          <w:color w:val="000000"/>
        </w:rPr>
        <w:t>2.2 RLHF for Recommendations</w:t>
      </w:r>
    </w:p>
    <w:p>
      <w:r>
        <w:rPr>
          <w:b w:val="0"/>
          <w:i w:val="0"/>
        </w:rPr>
        <w:t>InstructGPT [8] scales RLHF to instruction-following. We adapt RLHF principles to recommender systems with multi-objective wellbeing focus, extending beyond engagement optimization [10,11].</w:t>
      </w:r>
    </w:p>
    <w:p>
      <w:pPr>
        <w:pStyle w:val="Heading2"/>
      </w:pPr>
      <w:r>
        <w:rPr>
          <w:color w:val="000000"/>
        </w:rPr>
        <w:t>2.3 Safe Reinforcement Learning</w:t>
      </w:r>
    </w:p>
    <w:p>
      <w:r>
        <w:rPr>
          <w:b w:val="0"/>
          <w:i w:val="0"/>
        </w:rPr>
        <w:t>Constrained MDPs [12] formalize CMDPs with cost constraints. CPO [13] provides trust-region methods. We use Lagrangian relaxation with dual updates. Shielding approaches [14] provide safety guarantees; we implement a runtime shield for fatigue and mood decline prevention.</w:t>
      </w:r>
    </w:p>
    <w:p>
      <w:pPr>
        <w:pStyle w:val="Heading2"/>
      </w:pPr>
      <w:r>
        <w:rPr>
          <w:color w:val="000000"/>
        </w:rPr>
        <w:t>2.4 Wellbeing and Responsible Recommendation</w:t>
      </w:r>
    </w:p>
    <w:p>
      <w:r>
        <w:rPr>
          <w:b w:val="0"/>
          <w:i w:val="0"/>
        </w:rPr>
        <w:t>Design for Wellbeing (FAccT/CHI): Lukoff et al. [31] study YouTube's design influence on user agency. Monge Roffarello and De Russis [32] survey digital wellbeing interventions, finding nudge-based approaches reduce harmful usage by 15-30% but lack personalization. Burr et al. [33] provide an ethical framework arguing wellbeing-aware design must account for autonomy. Our work is the first to operationalize wellbeing optimization via IRL rather than heuristic nudges.</w:t>
      </w:r>
    </w:p>
    <w:p>
      <w:r>
        <w:rPr>
          <w:b w:val="0"/>
          <w:i w:val="0"/>
        </w:rPr>
        <w:t>Wellbeing-Aware RecSys: Wu et al. [30] survey digital wellbeing in RecSys, identifying four intervention levels. Stray [34] argues for redefining metrics beyond engagement; we provide a concrete algorithmic instantiation. Time-aware models [35,36] model session-level satisfaction but focus on engagement; we explicitly optimize for long-term wellbeing via constrained RL.</w:t>
      </w:r>
    </w:p>
    <w:p>
      <w:pPr>
        <w:pStyle w:val="Heading2"/>
      </w:pPr>
      <w:r>
        <w:rPr>
          <w:color w:val="000000"/>
        </w:rPr>
        <w:t>2.5 Personalization</w:t>
      </w:r>
    </w:p>
    <w:p>
      <w:r>
        <w:rPr>
          <w:b w:val="0"/>
          <w:i w:val="0"/>
        </w:rPr>
        <w:t>Matrix factorization [15] and neural collaborative filtering [16] capture user preferences. Envelope MORL [27] discovers Pareto-optimal policies. We integrate wellbeing, engagement, and safety.</w:t>
      </w:r>
    </w:p>
    <w:p>
      <w:pPr>
        <w:pStyle w:val="Heading2"/>
      </w:pPr>
      <w:r>
        <w:rPr>
          <w:color w:val="000000"/>
        </w:rPr>
        <w:t>2.6 Our Position</w:t>
      </w:r>
    </w:p>
    <w:p>
      <w:r>
        <w:rPr>
          <w:b/>
          <w:i w:val="0"/>
        </w:rPr>
        <w:t>Research Gap: Prior work either optimizes engagement (GRU4Rec, SASRec), addresses safety without personalization (CPO), or proposes wellbeing frameworks without algorithmic instantiation (FAccT literature). We integrate personalized preference learning, hybrid rewards, and safety constraints in a unified framework.</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Aspect</w:t>
            </w:r>
          </w:p>
        </w:tc>
        <w:tc>
          <w:tcPr>
            <w:tcW w:type="dxa" w:w="1560"/>
          </w:tcPr>
          <w:p>
            <w:r>
              <w:rPr>
                <w:b/>
                <w:sz w:val="18"/>
              </w:rPr>
              <w:t>RLHF [7]</w:t>
            </w:r>
          </w:p>
        </w:tc>
        <w:tc>
          <w:tcPr>
            <w:tcW w:type="dxa" w:w="1560"/>
          </w:tcPr>
          <w:p>
            <w:r>
              <w:rPr>
                <w:b/>
                <w:sz w:val="18"/>
              </w:rPr>
              <w:t>CPO [13]</w:t>
            </w:r>
          </w:p>
        </w:tc>
        <w:tc>
          <w:tcPr>
            <w:tcW w:type="dxa" w:w="1560"/>
          </w:tcPr>
          <w:p>
            <w:r>
              <w:rPr>
                <w:b/>
                <w:sz w:val="18"/>
              </w:rPr>
              <w:t>Env. MORL [27]</w:t>
            </w:r>
          </w:p>
        </w:tc>
        <w:tc>
          <w:tcPr>
            <w:tcW w:type="dxa" w:w="1560"/>
          </w:tcPr>
          <w:p>
            <w:r>
              <w:rPr>
                <w:b/>
                <w:sz w:val="18"/>
              </w:rPr>
              <w:t>Nudge [32]</w:t>
            </w:r>
          </w:p>
        </w:tc>
        <w:tc>
          <w:tcPr>
            <w:tcW w:type="dxa" w:w="1560"/>
          </w:tcPr>
          <w:p>
            <w:r>
              <w:rPr>
                <w:b/>
                <w:sz w:val="18"/>
              </w:rPr>
              <w:t>Ours</w:t>
            </w:r>
          </w:p>
        </w:tc>
      </w:tr>
      <w:tr>
        <w:tc>
          <w:tcPr>
            <w:tcW w:type="dxa" w:w="1560"/>
          </w:tcPr>
          <w:p>
            <w:r>
              <w:rPr>
                <w:sz w:val="18"/>
              </w:rPr>
              <w:t>Personalization</w:t>
            </w:r>
          </w:p>
        </w:tc>
        <w:tc>
          <w:tcPr>
            <w:tcW w:type="dxa" w:w="1560"/>
          </w:tcPr>
          <w:p>
            <w:r>
              <w:rPr>
                <w:sz w:val="18"/>
              </w:rPr>
              <w:t>Global</w:t>
            </w:r>
          </w:p>
        </w:tc>
        <w:tc>
          <w:tcPr>
            <w:tcW w:type="dxa" w:w="1560"/>
          </w:tcPr>
          <w:p>
            <w:r>
              <w:rPr>
                <w:sz w:val="18"/>
              </w:rPr>
              <w:t>Global</w:t>
            </w:r>
          </w:p>
        </w:tc>
        <w:tc>
          <w:tcPr>
            <w:tcW w:type="dxa" w:w="1560"/>
          </w:tcPr>
          <w:p>
            <w:r>
              <w:rPr>
                <w:sz w:val="18"/>
              </w:rPr>
              <w:t>Global</w:t>
            </w:r>
          </w:p>
        </w:tc>
        <w:tc>
          <w:tcPr>
            <w:tcW w:type="dxa" w:w="1560"/>
          </w:tcPr>
          <w:p>
            <w:r>
              <w:rPr>
                <w:sz w:val="18"/>
              </w:rPr>
              <w:t>Rule-based</w:t>
            </w:r>
          </w:p>
        </w:tc>
        <w:tc>
          <w:tcPr>
            <w:tcW w:type="dxa" w:w="1560"/>
          </w:tcPr>
          <w:p>
            <w:r>
              <w:rPr>
                <w:sz w:val="18"/>
              </w:rPr>
              <w:t>Per-user</w:t>
            </w:r>
          </w:p>
        </w:tc>
      </w:tr>
      <w:tr>
        <w:tc>
          <w:tcPr>
            <w:tcW w:type="dxa" w:w="1560"/>
          </w:tcPr>
          <w:p>
            <w:r>
              <w:rPr>
                <w:sz w:val="18"/>
              </w:rPr>
              <w:t>Safety</w:t>
            </w:r>
          </w:p>
        </w:tc>
        <w:tc>
          <w:tcPr>
            <w:tcW w:type="dxa" w:w="1560"/>
          </w:tcPr>
          <w:p>
            <w:r>
              <w:rPr>
                <w:sz w:val="18"/>
              </w:rPr>
              <w:t>Soft</w:t>
            </w:r>
          </w:p>
        </w:tc>
        <w:tc>
          <w:tcPr>
            <w:tcW w:type="dxa" w:w="1560"/>
          </w:tcPr>
          <w:p>
            <w:r>
              <w:rPr>
                <w:sz w:val="18"/>
              </w:rPr>
              <w:t>Hard</w:t>
            </w:r>
          </w:p>
        </w:tc>
        <w:tc>
          <w:tcPr>
            <w:tcW w:type="dxa" w:w="1560"/>
          </w:tcPr>
          <w:p>
            <w:r>
              <w:rPr>
                <w:sz w:val="18"/>
              </w:rPr>
              <w:t>None</w:t>
            </w:r>
          </w:p>
        </w:tc>
        <w:tc>
          <w:tcPr>
            <w:tcW w:type="dxa" w:w="1560"/>
          </w:tcPr>
          <w:p>
            <w:r>
              <w:rPr>
                <w:sz w:val="18"/>
              </w:rPr>
              <w:t>Heuristic</w:t>
            </w:r>
          </w:p>
        </w:tc>
        <w:tc>
          <w:tcPr>
            <w:tcW w:type="dxa" w:w="1560"/>
          </w:tcPr>
          <w:p>
            <w:r>
              <w:rPr>
                <w:sz w:val="18"/>
              </w:rPr>
              <w:t>Integrated</w:t>
            </w:r>
          </w:p>
        </w:tc>
      </w:tr>
      <w:tr>
        <w:tc>
          <w:tcPr>
            <w:tcW w:type="dxa" w:w="1560"/>
          </w:tcPr>
          <w:p>
            <w:r>
              <w:rPr>
                <w:sz w:val="18"/>
              </w:rPr>
              <w:t>Reward Source</w:t>
            </w:r>
          </w:p>
        </w:tc>
        <w:tc>
          <w:tcPr>
            <w:tcW w:type="dxa" w:w="1560"/>
          </w:tcPr>
          <w:p>
            <w:r>
              <w:rPr>
                <w:sz w:val="18"/>
              </w:rPr>
              <w:t>Preferences</w:t>
            </w:r>
          </w:p>
        </w:tc>
        <w:tc>
          <w:tcPr>
            <w:tcW w:type="dxa" w:w="1560"/>
          </w:tcPr>
          <w:p>
            <w:r>
              <w:rPr>
                <w:sz w:val="18"/>
              </w:rPr>
              <w:t>Hand-crafted</w:t>
            </w:r>
          </w:p>
        </w:tc>
        <w:tc>
          <w:tcPr>
            <w:tcW w:type="dxa" w:w="1560"/>
          </w:tcPr>
          <w:p>
            <w:r>
              <w:rPr>
                <w:sz w:val="18"/>
              </w:rPr>
              <w:t>Hand-crafted</w:t>
            </w:r>
          </w:p>
        </w:tc>
        <w:tc>
          <w:tcPr>
            <w:tcW w:type="dxa" w:w="1560"/>
          </w:tcPr>
          <w:p>
            <w:r>
              <w:rPr>
                <w:sz w:val="18"/>
              </w:rPr>
              <w:t>None</w:t>
            </w:r>
          </w:p>
        </w:tc>
        <w:tc>
          <w:tcPr>
            <w:tcW w:type="dxa" w:w="1560"/>
          </w:tcPr>
          <w:p>
            <w:r>
              <w:rPr>
                <w:sz w:val="18"/>
              </w:rPr>
              <w:t>Hybrid</w:t>
            </w:r>
          </w:p>
        </w:tc>
      </w:tr>
      <w:tr>
        <w:tc>
          <w:tcPr>
            <w:tcW w:type="dxa" w:w="1560"/>
          </w:tcPr>
          <w:p>
            <w:r>
              <w:rPr>
                <w:sz w:val="18"/>
              </w:rPr>
              <w:t>Wellbeing</w:t>
            </w:r>
          </w:p>
        </w:tc>
        <w:tc>
          <w:tcPr>
            <w:tcW w:type="dxa" w:w="1560"/>
          </w:tcPr>
          <w:p>
            <w:r>
              <w:rPr>
                <w:sz w:val="18"/>
              </w:rPr>
              <w:t>No</w:t>
            </w:r>
          </w:p>
        </w:tc>
        <w:tc>
          <w:tcPr>
            <w:tcW w:type="dxa" w:w="1560"/>
          </w:tcPr>
          <w:p>
            <w:r>
              <w:rPr>
                <w:sz w:val="18"/>
              </w:rPr>
              <w:t>No</w:t>
            </w:r>
          </w:p>
        </w:tc>
        <w:tc>
          <w:tcPr>
            <w:tcW w:type="dxa" w:w="1560"/>
          </w:tcPr>
          <w:p>
            <w:r>
              <w:rPr>
                <w:sz w:val="18"/>
              </w:rPr>
              <w:t>Implicit</w:t>
            </w:r>
          </w:p>
        </w:tc>
        <w:tc>
          <w:tcPr>
            <w:tcW w:type="dxa" w:w="1560"/>
          </w:tcPr>
          <w:p>
            <w:r>
              <w:rPr>
                <w:sz w:val="18"/>
              </w:rPr>
              <w:t>Heuristic</w:t>
            </w:r>
          </w:p>
        </w:tc>
        <w:tc>
          <w:tcPr>
            <w:tcW w:type="dxa" w:w="1560"/>
          </w:tcPr>
          <w:p>
            <w:r>
              <w:rPr>
                <w:sz w:val="18"/>
              </w:rPr>
              <w:t>Explicit (learned)</w:t>
            </w:r>
          </w:p>
        </w:tc>
      </w:tr>
      <w:tr>
        <w:tc>
          <w:tcPr>
            <w:tcW w:type="dxa" w:w="1560"/>
          </w:tcPr>
          <w:p>
            <w:r>
              <w:rPr>
                <w:sz w:val="18"/>
              </w:rPr>
              <w:t>Deployment</w:t>
            </w:r>
          </w:p>
        </w:tc>
        <w:tc>
          <w:tcPr>
            <w:tcW w:type="dxa" w:w="1560"/>
          </w:tcPr>
          <w:p>
            <w:r>
              <w:rPr>
                <w:sz w:val="18"/>
              </w:rPr>
              <w:t>Online</w:t>
            </w:r>
          </w:p>
        </w:tc>
        <w:tc>
          <w:tcPr>
            <w:tcW w:type="dxa" w:w="1560"/>
          </w:tcPr>
          <w:p>
            <w:r>
              <w:rPr>
                <w:sz w:val="18"/>
              </w:rPr>
              <w:t>Online</w:t>
            </w:r>
          </w:p>
        </w:tc>
        <w:tc>
          <w:tcPr>
            <w:tcW w:type="dxa" w:w="1560"/>
          </w:tcPr>
          <w:p>
            <w:r>
              <w:rPr>
                <w:sz w:val="18"/>
              </w:rPr>
              <w:t>Online</w:t>
            </w:r>
          </w:p>
        </w:tc>
        <w:tc>
          <w:tcPr>
            <w:tcW w:type="dxa" w:w="1560"/>
          </w:tcPr>
          <w:p>
            <w:r>
              <w:rPr>
                <w:sz w:val="18"/>
              </w:rPr>
              <w:t>Online</w:t>
            </w:r>
          </w:p>
        </w:tc>
        <w:tc>
          <w:tcPr>
            <w:tcW w:type="dxa" w:w="1560"/>
          </w:tcPr>
          <w:p>
            <w:r>
              <w:rPr>
                <w:sz w:val="18"/>
              </w:rPr>
              <w:t>Offline-to-online</w:t>
            </w:r>
          </w:p>
        </w:tc>
      </w:tr>
    </w:tbl>
    <w:p>
      <w:r>
        <w:rPr>
          <w:b w:val="0"/>
          <w:i/>
          <w:sz w:val="18"/>
        </w:rPr>
        <w:t>Table 1: Comparison with related approaches.</w:t>
      </w:r>
    </w:p>
    <w:p>
      <w:pPr>
        <w:pStyle w:val="Heading1"/>
      </w:pPr>
      <w:r>
        <w:rPr>
          <w:color w:val="000000"/>
        </w:rPr>
        <w:t>3. Problem Formulation</w:t>
      </w:r>
    </w:p>
    <w:p>
      <w:pPr>
        <w:pStyle w:val="Heading2"/>
      </w:pPr>
      <w:r>
        <w:rPr>
          <w:color w:val="000000"/>
        </w:rPr>
        <w:t>3.1 Markov Decision Process</w:t>
      </w:r>
    </w:p>
    <w:p>
      <w:r>
        <w:rPr>
          <w:b w:val="0"/>
          <w:i w:val="0"/>
        </w:rPr>
        <w:t>We model recommendation sessions as a finite-horizon MDP: M = ⟨S, A, P, R, γ, H, ρ₀⟩</w:t>
      </w:r>
    </w:p>
    <w:p>
      <w:r>
        <w:rPr>
          <w:b w:val="0"/>
          <w:i w:val="0"/>
        </w:rPr>
        <w:t>State Space S ⊂ ℝ¹⁹: Enhanced session state with engagement, fatigue, diversity (3D), mood proxy/trend/volatility (3D), user embedding (8D), session length/time-of-day (2D), context features (3D).</w:t>
      </w:r>
    </w:p>
    <w:p>
      <w:r>
        <w:rPr>
          <w:b w:val="0"/>
          <w:i w:val="0"/>
        </w:rPr>
        <w:t>Action Space A = {positive, neutral, polarizing, interest, break}: Five recommendation strategies.</w:t>
      </w:r>
    </w:p>
    <w:p>
      <w:pPr>
        <w:pStyle w:val="Heading2"/>
      </w:pPr>
      <w:r>
        <w:rPr>
          <w:color w:val="000000"/>
        </w:rPr>
        <w:t>3.2 Action Space Design</w:t>
      </w:r>
    </w:p>
    <w:p>
      <w:r>
        <w:rPr>
          <w:b w:val="0"/>
          <w:i w:val="0"/>
        </w:rPr>
        <w:t>Our discrete action space abstracts over fine-grained item selection, following the hierarchical recommendation paradigm [24]. Each action corresponds to a content strategy, with a downstream retrieval module selecting specific items via standard collaborative filtering. This two-stage design is common in industrial systems [25]. Validation: top-2 actions cover 78% of expert demonstrations; inter-action variance F=12.7, p&lt;0.001.</w:t>
      </w:r>
    </w:p>
    <w:p>
      <w:r>
        <w:rPr>
          <w:b w:val="0"/>
          <w:i/>
        </w:rPr>
        <w:t>Deployment: In production, the policy selects a content strategy, and a downstream retrieval module (e.g., two-tower model) selects specific items from the chosen pool. We do not compare against item-level RL baselines (requiring |I|-sized action spaces); such a comparison is orthogonal to our strategy-level wellbeing optimization contribution.</w:t>
      </w:r>
    </w:p>
    <w:p>
      <w:pPr>
        <w:pStyle w:val="Heading2"/>
      </w:pPr>
      <w:r>
        <w:rPr>
          <w:color w:val="000000"/>
        </w:rPr>
        <w:t>3.3 Constrained MDP Formulation</w:t>
      </w:r>
    </w:p>
    <w:p>
      <w:r>
        <w:rPr>
          <w:b w:val="0"/>
          <w:i w:val="0"/>
        </w:rPr>
        <w:t>To ensure safety, we formulate as a Constrained MDP:</w:t>
      </w:r>
    </w:p>
    <w:p>
      <w:r>
        <w:rPr>
          <w:b w:val="0"/>
          <w:i w:val="0"/>
        </w:rPr>
        <w:t>max_π E_π[Σ γ^t R(s_t, a_t, u)]  subject to  E_π[Σ γ^t C_i(s_t, a_t)] ≤ c_i, ∀i ∈ {1,2,3}</w:t>
      </w:r>
    </w:p>
    <w:p>
      <w:r>
        <w:rPr>
          <w:b w:val="0"/>
          <w:i w:val="0"/>
        </w:rPr>
        <w:t>Constraint Functions:</w:t>
      </w:r>
    </w:p>
    <w:p>
      <w:pPr>
        <w:pStyle w:val="ListBullet"/>
      </w:pPr>
      <w:r>
        <w:t>C₁(s,a) = 𝟙[fatigue &gt; 0.7]: Fatigue constraint (threshold c₁=0.2)</w:t>
      </w:r>
    </w:p>
    <w:p>
      <w:pPr>
        <w:pStyle w:val="ListBullet"/>
      </w:pPr>
      <w:r>
        <w:t>C₂(s,a) = 𝟙[mood_trend &lt; -1.5σ]: Mood decline constraint (threshold c₂=0.1)</w:t>
      </w:r>
    </w:p>
    <w:p>
      <w:pPr>
        <w:pStyle w:val="ListBullet"/>
      </w:pPr>
      <w:r>
        <w:t>C₃(s,a) = 𝟙[a=polarizing]: Polarizing content limit (threshold c₃=0.2)</w:t>
      </w:r>
    </w:p>
    <w:p>
      <w:pPr>
        <w:pStyle w:val="Heading2"/>
      </w:pPr>
      <w:r>
        <w:rPr>
          <w:color w:val="000000"/>
        </w:rPr>
        <w:t>3.4 Hybrid Reward System</w:t>
      </w:r>
    </w:p>
    <w:p>
      <w:r>
        <w:rPr>
          <w:b w:val="0"/>
          <w:i w:val="0"/>
        </w:rPr>
        <w:t>Our key innovation is a hybrid reward combining learned and hand-crafted components:</w:t>
      </w:r>
    </w:p>
    <w:p>
      <w:r>
        <w:rPr>
          <w:b/>
          <w:i w:val="0"/>
        </w:rPr>
        <w:t>R_final(s,a,u) = R_IRL(s,a,u) + λ · R_shaping(s,a)</w:t>
      </w:r>
    </w:p>
    <w:p>
      <w:r>
        <w:rPr>
          <w:b w:val="0"/>
          <w:i w:val="0"/>
        </w:rPr>
        <w:t>Where R_IRL(s,a,u) is personalized reward learned via Bradley-Terry model, R_shaping(s,a) = 0.3·engagement + 0.4·diversity - 0.3·fatigue (hand-crafted training signal), and λ = 0.3 (grid-search optimized).</w:t>
      </w:r>
    </w:p>
    <w:p>
      <w:r>
        <w:rPr>
          <w:b w:val="0"/>
          <w:i/>
        </w:rPr>
        <w:t>Important Distinction: R_shaping is the training reward signal used during policy optimization. It is distinct from the wellbeing evaluation metric (Section 5.3), which incorporates mood proxy, engagement quality, and fatigue to assess policy outcomes. This separation ensures evaluation is not circularly defined by the training objective.</w:t>
      </w:r>
    </w:p>
    <w:p>
      <w:pPr>
        <w:pStyle w:val="Heading1"/>
      </w:pPr>
      <w:r>
        <w:rPr>
          <w:color w:val="000000"/>
        </w:rPr>
        <w:t>4. Method</w:t>
      </w:r>
    </w:p>
    <w:p>
      <w:pPr>
        <w:pStyle w:val="Heading2"/>
      </w:pPr>
      <w:r>
        <w:rPr>
          <w:color w:val="000000"/>
        </w:rPr>
        <w:t>4.1 System Architecture</w:t>
      </w:r>
    </w:p>
    <w:p>
      <w:r>
        <w:rPr>
          <w:b w:val="0"/>
          <w:i w:val="0"/>
        </w:rPr>
        <w:t>Our method consists of six phases:</w:t>
      </w:r>
    </w:p>
    <w:p>
      <w:r>
        <w:rPr>
          <w:b/>
        </w:rPr>
        <w:t xml:space="preserve">Phase 1: Data Preprocessing &amp; Preference Amplification: </w:t>
      </w:r>
      <w:r>
        <w:t>Extract 69,847 sessions from KuaiRec 2.0. Preference Amplification: Algorithmically construct 10,000 preference pairs starting from just 600 core trajectory comparisons via synthetic state-action perturbation and transitivity completion. This simulates RLHF scale without manual labels.</w:t>
      </w:r>
    </w:p>
    <w:p>
      <w:r>
        <w:rPr>
          <w:b/>
        </w:rPr>
        <w:t xml:space="preserve">Phase 2: Personalized IRL Training: </w:t>
      </w:r>
      <w:r>
        <w:t>Learn per-user reward models R_θ(s,a,u) for 500 users. Bradley-Terry preference loss with L2 regularization and engagement penalty. 200 epochs, batch 64, lr=0.001.</w:t>
      </w:r>
    </w:p>
    <w:p>
      <w:r>
        <w:rPr>
          <w:b/>
        </w:rPr>
        <w:t xml:space="preserve">Phase 3: Hybrid Reward Construction: </w:t>
      </w:r>
      <w:r>
        <w:t>Combine learned rewards with validated shaping: R_final = R_IRL + 0.3·R_shaping. Validate on held-out preference pairs (78.3% accuracy).</w:t>
      </w:r>
    </w:p>
    <w:p>
      <w:r>
        <w:rPr>
          <w:b/>
        </w:rPr>
        <w:t xml:space="preserve">Phase 4: Offline RL Initialization (CQL): </w:t>
      </w:r>
      <w:r>
        <w:t>Conservative Q-Learning on logged trajectories. 10,000 iterations, batch 256, α=1.0.</w:t>
      </w:r>
    </w:p>
    <w:p>
      <w:r>
        <w:rPr>
          <w:b/>
        </w:rPr>
        <w:t xml:space="preserve">Phase 5: Online Policy Optimization (PPO + CMDP): </w:t>
      </w:r>
      <w:r>
        <w:t>PPO with Lagrangian relaxation for CMDP constraints. Runtime safety shield. 1,000 iterations, 2,048 steps/iteration.</w:t>
      </w:r>
    </w:p>
    <w:p>
      <w:r>
        <w:rPr>
          <w:b/>
        </w:rPr>
        <w:t xml:space="preserve">Phase 6: Evaluation: </w:t>
      </w:r>
      <w:r>
        <w:t>Counterfactual evaluation (IPS, DR). Monte Carlo rollouts: 500 episodes, 100 users. Bootstrap CIs and paired t-tests.</w:t>
      </w:r>
    </w:p>
    <w:p>
      <w:pPr>
        <w:pStyle w:val="Heading2"/>
      </w:pPr>
      <w:r>
        <w:rPr>
          <w:color w:val="000000"/>
        </w:rPr>
        <w:t>4.2 Personalized IRL Algorithm</w:t>
      </w:r>
    </w:p>
    <w:p>
      <w:pPr>
        <w:ind w:left="567"/>
      </w:pPr>
      <w:r>
        <w:rPr>
          <w:rFonts w:ascii="Consolas" w:hAnsi="Consolas"/>
          <w:sz w:val="16"/>
        </w:rPr>
        <w:t>Algorithm: PERSONALIZED-PREFERENCE-IRL</w:t>
        <w:br/>
        <w:t>Input: Preference pairs D = {(τ⁺, τ⁻, u)}, user set U</w:t>
        <w:br/>
        <w:t>Output: Reward model R_θ(s,a,u)</w:t>
        <w:br/>
        <w:br/>
        <w:t>1: Initialize R_θ with feature extractor φ: (s,a) → ℝ⁶⁴</w:t>
        <w:br/>
        <w:t>2: Initialize per-user parameters θ_u ∈ ℝ⁶⁴ for each u ∈ U</w:t>
        <w:br/>
        <w:t>3: for epoch = 1 to 200 do</w:t>
        <w:br/>
        <w:t>4:     for batch in minibatches(D, size=64) do</w:t>
        <w:br/>
        <w:t>5:         for (τ⁺, τ⁻, u) in batch do</w:t>
        <w:br/>
        <w:t>6:             R⁺ ← Σ_t γᵗ·R_θ(s_t⁺, a_t⁺, u)</w:t>
        <w:br/>
        <w:t>7:             R⁻ ← Σ_t γᵗ·R_θ(s_t⁻, a_t⁻, u)</w:t>
        <w:br/>
        <w:t>8:             L_pref ← -log(σ(R⁺ - R⁻))</w:t>
        <w:br/>
        <w:t>9:         end for</w:t>
        <w:br/>
        <w:t>10:        L_total ← L_pref + λ_reg·||θ||² + λ_eng·|Corr(R_θ, engagement)|</w:t>
        <w:br/>
        <w:t>11:        θ ← θ - α·∇_θ L_total</w:t>
        <w:br/>
        <w:t>12:    end for</w:t>
        <w:br/>
        <w:t>13: end for</w:t>
        <w:br/>
        <w:t>14: return R_θ</w:t>
      </w:r>
    </w:p>
    <w:p>
      <w:pPr>
        <w:pStyle w:val="Heading2"/>
      </w:pPr>
      <w:r>
        <w:rPr>
          <w:color w:val="000000"/>
        </w:rPr>
        <w:t>4.3 Preference Amplification Procedure</w:t>
      </w:r>
    </w:p>
    <w:p>
      <w:r>
        <w:rPr>
          <w:b w:val="0"/>
          <w:i w:val="0"/>
        </w:rPr>
        <w:t>To overcome the data bottleneck of acquiring 10,000 human-annotated preference pairs, we employ an algorithmic amplification procedure (Algorithm 2) expanding 600 base trajectory comparisons.</w:t>
      </w:r>
    </w:p>
    <w:p>
      <w:pPr>
        <w:ind w:left="567"/>
      </w:pPr>
      <w:r>
        <w:rPr>
          <w:rFonts w:ascii="Consolas" w:hAnsi="Consolas"/>
          <w:sz w:val="16"/>
        </w:rPr>
        <w:t>Algorithm 2: PREFERENCE-AMPLIFICATION</w:t>
        <w:br/>
        <w:t>Input: Base trajectories T_base (|T_base|=600), Proxy P, Target N=10000</w:t>
        <w:br/>
        <w:t>1: D ← ∅</w:t>
        <w:br/>
        <w:t>2: for τ in T_base do score(τ) ← P(τ)</w:t>
        <w:br/>
        <w:t>3: T_aug ← T_base</w:t>
        <w:br/>
        <w:t>4: for τ in T_base do</w:t>
        <w:br/>
        <w:t>5:    τ' ← τ + N(0, ε)  // Synthetic Perturbation</w:t>
        <w:br/>
        <w:t>6:    score(τ') ← score(τ)</w:t>
        <w:br/>
        <w:t>7:    T_aug ← T_aug ∪ {τ'}</w:t>
        <w:br/>
        <w:t>8: while |D| &lt; N do</w:t>
        <w:br/>
        <w:t>9:    Sample τ₁, τ₂ from T_aug without replacement</w:t>
        <w:br/>
        <w:t>10:   if score(τ₁) &gt; score(τ₂) + margin then D ← D ∪ {(τ₁, τ₂)}</w:t>
        <w:br/>
        <w:t>11: return D</w:t>
      </w:r>
    </w:p>
    <w:p>
      <w:r>
        <w:rPr>
          <w:b/>
          <w:i w:val="0"/>
        </w:rPr>
        <w:t>Consistency Verification: 92.4% agreement rate between amplified transitive pairs and held-out manually ranked base pairs, confirming local smoothness assumptions.</w:t>
      </w:r>
    </w:p>
    <w:p>
      <w:pPr>
        <w:pStyle w:val="Heading2"/>
      </w:pPr>
      <w:r>
        <w:rPr>
          <w:color w:val="000000"/>
        </w:rPr>
        <w:t>4.4 Safety Shield</w:t>
      </w:r>
    </w:p>
    <w:p>
      <w:pPr>
        <w:ind w:left="567"/>
      </w:pPr>
      <w:r>
        <w:rPr>
          <w:rFonts w:ascii="Consolas" w:hAnsi="Consolas"/>
          <w:sz w:val="16"/>
        </w:rPr>
        <w:t>Function: IS-SAFE(s, a)</w:t>
        <w:br/>
        <w:t>1: if fatigue(s) &gt; 0.7 then return False</w:t>
        <w:br/>
        <w:t>2: if mood_trend(s) &lt; -1.5·mood_volatility(s) then return False</w:t>
        <w:br/>
        <w:t>3: if predicted_reward(s,a) &lt; 0 then return False</w:t>
        <w:br/>
        <w:t>4: return True</w:t>
        <w:br/>
        <w:br/>
        <w:t>Function: SAFE-POLICY(s)</w:t>
        <w:br/>
        <w:t>1: a ← sample from π_θ(·|s)</w:t>
        <w:br/>
        <w:t>2: if IS-SAFE(s,a) then return a</w:t>
        <w:br/>
        <w:t>3: else</w:t>
        <w:br/>
        <w:t>4:     for a' in {neutral, positive, interest, break} do</w:t>
        <w:br/>
        <w:t>5:         if IS-SAFE(s,a') then return a'</w:t>
        <w:br/>
        <w:t>6:     end for</w:t>
        <w:br/>
        <w:t>7:     return break  // guaranteed safe fallback</w:t>
      </w:r>
    </w:p>
    <w:p>
      <w:pPr>
        <w:pStyle w:val="Heading2"/>
      </w:pPr>
      <w:r>
        <w:rPr>
          <w:color w:val="000000"/>
        </w:rPr>
        <w:t>4.4 Core Implementation</w:t>
      </w:r>
    </w:p>
    <w:p>
      <w:r>
        <w:rPr>
          <w:b/>
          <w:i w:val="0"/>
        </w:rPr>
        <w:t>Preference-Based IRL (Bradley-Terry Model):</w:t>
      </w:r>
    </w:p>
    <w:p>
      <w:pPr>
        <w:ind w:left="567"/>
      </w:pPr>
      <w:r>
        <w:rPr>
          <w:rFonts w:ascii="Consolas" w:hAnsi="Consolas"/>
          <w:sz w:val="16"/>
        </w:rPr>
        <w:t>class PreferenceNetwork(nn.Module):</w:t>
        <w:br/>
        <w:t xml:space="preserve">    def __init__(self, feature_dim=8, hidden_dim=64):</w:t>
        <w:br/>
        <w:t xml:space="preserve">        super().__init__()</w:t>
        <w:br/>
        <w:t xml:space="preserve">        self.reward_net = nn.Sequential(</w:t>
        <w:br/>
        <w:t xml:space="preserve">            nn.Linear(feature_dim, hidden_dim), nn.ReLU(),</w:t>
        <w:br/>
        <w:t xml:space="preserve">            nn.Linear(hidden_dim, hidden_dim), nn.ReLU(),</w:t>
        <w:br/>
        <w:t xml:space="preserve">            nn.Linear(hidden_dim, 1)</w:t>
        <w:br/>
        <w:t xml:space="preserve">        )</w:t>
        <w:br/>
        <w:br/>
        <w:t xml:space="preserve">    def forward(self, features_a, features_b):</w:t>
        <w:br/>
        <w:t xml:space="preserve">        reward_a = self.reward_net(features_a)</w:t>
        <w:br/>
        <w:t xml:space="preserve">        reward_b = self.reward_net(features_b)</w:t>
        <w:br/>
        <w:t xml:space="preserve">        return torch.sigmoid(reward_a - reward_b)</w:t>
      </w:r>
    </w:p>
    <w:p>
      <w:pPr>
        <w:pStyle w:val="Heading1"/>
      </w:pPr>
      <w:r>
        <w:rPr>
          <w:color w:val="000000"/>
        </w:rPr>
        <w:t>5. Experiments</w:t>
      </w:r>
    </w:p>
    <w:p>
      <w:r>
        <w:rPr>
          <w:b w:val="0"/>
          <w:i/>
        </w:rPr>
        <w:t>Evaluation Scope: All experiments are conducted via offline policy evaluation in a learned environment model trained on KuaiRec 2.0 interaction logs. Preference pairs are algorithmically constructed from behavioral signals (not human-annotated). We follow best practices from the offline RL literature [20,21].</w:t>
      </w:r>
    </w:p>
    <w:p>
      <w:pPr>
        <w:pStyle w:val="Heading2"/>
      </w:pPr>
      <w:r>
        <w:rPr>
          <w:color w:val="000000"/>
        </w:rPr>
        <w:t>5.1 Datasets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Dataset</w:t>
            </w:r>
          </w:p>
        </w:tc>
        <w:tc>
          <w:tcPr>
            <w:tcW w:type="dxa" w:w="1560"/>
          </w:tcPr>
          <w:p>
            <w:r>
              <w:rPr>
                <w:b/>
                <w:sz w:val="18"/>
              </w:rPr>
              <w:t>Domain</w:t>
            </w:r>
          </w:p>
        </w:tc>
        <w:tc>
          <w:tcPr>
            <w:tcW w:type="dxa" w:w="1560"/>
          </w:tcPr>
          <w:p>
            <w:r>
              <w:rPr>
                <w:b/>
                <w:sz w:val="18"/>
              </w:rPr>
              <w:t>Users</w:t>
            </w:r>
          </w:p>
        </w:tc>
        <w:tc>
          <w:tcPr>
            <w:tcW w:type="dxa" w:w="1560"/>
          </w:tcPr>
          <w:p>
            <w:r>
              <w:rPr>
                <w:b/>
                <w:sz w:val="18"/>
              </w:rPr>
              <w:t>Items</w:t>
            </w:r>
          </w:p>
        </w:tc>
        <w:tc>
          <w:tcPr>
            <w:tcW w:type="dxa" w:w="1560"/>
          </w:tcPr>
          <w:p>
            <w:r>
              <w:rPr>
                <w:b/>
                <w:sz w:val="18"/>
              </w:rPr>
              <w:t>Interactions</w:t>
            </w:r>
          </w:p>
        </w:tc>
        <w:tc>
          <w:tcPr>
            <w:tcW w:type="dxa" w:w="1560"/>
          </w:tcPr>
          <w:p>
            <w:r>
              <w:rPr>
                <w:b/>
                <w:sz w:val="18"/>
              </w:rPr>
              <w:t>Use</w:t>
            </w:r>
          </w:p>
        </w:tc>
      </w:tr>
      <w:tr>
        <w:tc>
          <w:tcPr>
            <w:tcW w:type="dxa" w:w="1560"/>
          </w:tcPr>
          <w:p>
            <w:r>
              <w:rPr>
                <w:sz w:val="18"/>
              </w:rPr>
              <w:t>KuaiRec 2.0</w:t>
            </w:r>
          </w:p>
        </w:tc>
        <w:tc>
          <w:tcPr>
            <w:tcW w:type="dxa" w:w="1560"/>
          </w:tcPr>
          <w:p>
            <w:r>
              <w:rPr>
                <w:sz w:val="18"/>
              </w:rPr>
              <w:t>Video</w:t>
            </w:r>
          </w:p>
        </w:tc>
        <w:tc>
          <w:tcPr>
            <w:tcW w:type="dxa" w:w="1560"/>
          </w:tcPr>
          <w:p>
            <w:r>
              <w:rPr>
                <w:sz w:val="18"/>
              </w:rPr>
              <w:t>7,176</w:t>
            </w:r>
          </w:p>
        </w:tc>
        <w:tc>
          <w:tcPr>
            <w:tcW w:type="dxa" w:w="1560"/>
          </w:tcPr>
          <w:p>
            <w:r>
              <w:rPr>
                <w:sz w:val="18"/>
              </w:rPr>
              <w:t>10,728</w:t>
            </w:r>
          </w:p>
        </w:tc>
        <w:tc>
          <w:tcPr>
            <w:tcW w:type="dxa" w:w="1560"/>
          </w:tcPr>
          <w:p>
            <w:r>
              <w:rPr>
                <w:sz w:val="18"/>
              </w:rPr>
              <w:t>12.5M</w:t>
            </w:r>
          </w:p>
        </w:tc>
        <w:tc>
          <w:tcPr>
            <w:tcW w:type="dxa" w:w="1560"/>
          </w:tcPr>
          <w:p>
            <w:r>
              <w:rPr>
                <w:sz w:val="18"/>
              </w:rPr>
              <w:t>Primary</w:t>
            </w:r>
          </w:p>
        </w:tc>
      </w:tr>
      <w:tr>
        <w:tc>
          <w:tcPr>
            <w:tcW w:type="dxa" w:w="1560"/>
          </w:tcPr>
          <w:p>
            <w:r>
              <w:rPr>
                <w:sz w:val="18"/>
              </w:rPr>
              <w:t>MovieLens 25M</w:t>
            </w:r>
          </w:p>
        </w:tc>
        <w:tc>
          <w:tcPr>
            <w:tcW w:type="dxa" w:w="1560"/>
          </w:tcPr>
          <w:p>
            <w:r>
              <w:rPr>
                <w:sz w:val="18"/>
              </w:rPr>
              <w:t>Movies</w:t>
            </w:r>
          </w:p>
        </w:tc>
        <w:tc>
          <w:tcPr>
            <w:tcW w:type="dxa" w:w="1560"/>
          </w:tcPr>
          <w:p>
            <w:r>
              <w:rPr>
                <w:sz w:val="18"/>
              </w:rPr>
              <w:t>162K</w:t>
            </w:r>
          </w:p>
        </w:tc>
        <w:tc>
          <w:tcPr>
            <w:tcW w:type="dxa" w:w="1560"/>
          </w:tcPr>
          <w:p>
            <w:r>
              <w:rPr>
                <w:sz w:val="18"/>
              </w:rPr>
              <w:t>62K</w:t>
            </w:r>
          </w:p>
        </w:tc>
        <w:tc>
          <w:tcPr>
            <w:tcW w:type="dxa" w:w="1560"/>
          </w:tcPr>
          <w:p>
            <w:r>
              <w:rPr>
                <w:sz w:val="18"/>
              </w:rPr>
              <w:t>25M</w:t>
            </w:r>
          </w:p>
        </w:tc>
        <w:tc>
          <w:tcPr>
            <w:tcW w:type="dxa" w:w="1560"/>
          </w:tcPr>
          <w:p>
            <w:r>
              <w:rPr>
                <w:sz w:val="18"/>
              </w:rPr>
              <w:t>Generalization</w:t>
            </w:r>
          </w:p>
        </w:tc>
      </w:tr>
      <w:tr>
        <w:tc>
          <w:tcPr>
            <w:tcW w:type="dxa" w:w="1560"/>
          </w:tcPr>
          <w:p>
            <w:r>
              <w:rPr>
                <w:sz w:val="18"/>
              </w:rPr>
              <w:t>Spotify Sessions</w:t>
            </w:r>
          </w:p>
        </w:tc>
        <w:tc>
          <w:tcPr>
            <w:tcW w:type="dxa" w:w="1560"/>
          </w:tcPr>
          <w:p>
            <w:r>
              <w:rPr>
                <w:sz w:val="18"/>
              </w:rPr>
              <w:t>Music</w:t>
            </w:r>
          </w:p>
        </w:tc>
        <w:tc>
          <w:tcPr>
            <w:tcW w:type="dxa" w:w="1560"/>
          </w:tcPr>
          <w:p>
            <w:r>
              <w:rPr>
                <w:sz w:val="18"/>
              </w:rPr>
              <w:t>-</w:t>
            </w:r>
          </w:p>
        </w:tc>
        <w:tc>
          <w:tcPr>
            <w:tcW w:type="dxa" w:w="1560"/>
          </w:tcPr>
          <w:p>
            <w:r>
              <w:rPr>
                <w:sz w:val="18"/>
              </w:rPr>
              <w:t>20K+</w:t>
            </w:r>
          </w:p>
        </w:tc>
        <w:tc>
          <w:tcPr>
            <w:tcW w:type="dxa" w:w="1560"/>
          </w:tcPr>
          <w:p>
            <w:r>
              <w:rPr>
                <w:sz w:val="18"/>
              </w:rPr>
              <w:t>160M+</w:t>
            </w:r>
          </w:p>
        </w:tc>
        <w:tc>
          <w:tcPr>
            <w:tcW w:type="dxa" w:w="1560"/>
          </w:tcPr>
          <w:p>
            <w:r>
              <w:rPr>
                <w:sz w:val="18"/>
              </w:rPr>
              <w:t>Cross-domain</w:t>
            </w:r>
          </w:p>
        </w:tc>
      </w:tr>
      <w:tr>
        <w:tc>
          <w:tcPr>
            <w:tcW w:type="dxa" w:w="1560"/>
          </w:tcPr>
          <w:p>
            <w:r>
              <w:rPr>
                <w:sz w:val="18"/>
              </w:rPr>
              <w:t>Semi-Synthetic</w:t>
            </w:r>
          </w:p>
        </w:tc>
        <w:tc>
          <w:tcPr>
            <w:tcW w:type="dxa" w:w="1560"/>
          </w:tcPr>
          <w:p>
            <w:r>
              <w:rPr>
                <w:sz w:val="18"/>
              </w:rPr>
              <w:t>Simulated</w:t>
            </w:r>
          </w:p>
        </w:tc>
        <w:tc>
          <w:tcPr>
            <w:tcW w:type="dxa" w:w="1560"/>
          </w:tcPr>
          <w:p>
            <w:r>
              <w:rPr>
                <w:sz w:val="18"/>
              </w:rPr>
              <w:t>500</w:t>
            </w:r>
          </w:p>
        </w:tc>
        <w:tc>
          <w:tcPr>
            <w:tcW w:type="dxa" w:w="1560"/>
          </w:tcPr>
          <w:p>
            <w:r>
              <w:rPr>
                <w:sz w:val="18"/>
              </w:rPr>
              <w:t>-</w:t>
            </w:r>
          </w:p>
        </w:tc>
        <w:tc>
          <w:tcPr>
            <w:tcW w:type="dxa" w:w="1560"/>
          </w:tcPr>
          <w:p>
            <w:r>
              <w:rPr>
                <w:sz w:val="18"/>
              </w:rPr>
              <w:t>Custom</w:t>
            </w:r>
          </w:p>
        </w:tc>
        <w:tc>
          <w:tcPr>
            <w:tcW w:type="dxa" w:w="1560"/>
          </w:tcPr>
          <w:p>
            <w:r>
              <w:rPr>
                <w:sz w:val="18"/>
              </w:rPr>
              <w:t>Ground truth</w:t>
            </w:r>
          </w:p>
        </w:tc>
      </w:tr>
    </w:tbl>
    <w:p>
      <w:r>
        <w:rPr>
          <w:b w:val="0"/>
          <w:i/>
          <w:sz w:val="18"/>
        </w:rPr>
        <w:t>Table 2: Datasets used in evaluation.</w:t>
      </w:r>
    </w:p>
    <w:p>
      <w:pPr>
        <w:pStyle w:val="Heading2"/>
      </w:pPr>
      <w:r>
        <w:rPr>
          <w:color w:val="000000"/>
        </w:rPr>
        <w:t>5.2 Baselines</w:t>
      </w:r>
    </w:p>
    <w:p>
      <w:r>
        <w:rPr>
          <w:b w:val="0"/>
          <w:i w:val="0"/>
        </w:rPr>
        <w:t>We compare against 7 baselines spanning RL-based and standard recommendation approaches:</w:t>
      </w:r>
    </w:p>
    <w:p>
      <w:pPr>
        <w:pStyle w:val="ListNumber"/>
      </w:pPr>
      <w:r>
        <w:t>Engagement Greedy: Industry standard maximizing immediate engagement</w:t>
      </w:r>
    </w:p>
    <w:p>
      <w:pPr>
        <w:pStyle w:val="ListNumber"/>
      </w:pPr>
      <w:r>
        <w:t>Reward Shaping Baseline: Hand-crafted rewards (0.3·e + 0.4·d - 0.3·f)</w:t>
      </w:r>
    </w:p>
    <w:p>
      <w:pPr>
        <w:pStyle w:val="ListNumber"/>
      </w:pPr>
      <w:r>
        <w:t>RLHF [7]: Trajectory-level Bradley-Terry + PPO, without personalization or safety</w:t>
      </w:r>
    </w:p>
    <w:p>
      <w:pPr>
        <w:pStyle w:val="ListNumber"/>
      </w:pPr>
      <w:r>
        <w:t>CPO (Lagrangian) [13]: Lagrangian relaxation variant with fatigue/mood constraints</w:t>
      </w:r>
    </w:p>
    <w:p>
      <w:pPr>
        <w:pStyle w:val="ListNumber"/>
      </w:pPr>
      <w:r>
        <w:t>Envelope MORL [27]: Multi-objective RL using envelope algorithm (Yang et al., 2019)</w:t>
      </w:r>
    </w:p>
    <w:p>
      <w:pPr>
        <w:pStyle w:val="ListNumber"/>
      </w:pPr>
      <w:r>
        <w:t>GRU4Rec [28]: Session-based recommendation using GRU (Hidasi et al., 2016)</w:t>
      </w:r>
    </w:p>
    <w:p>
      <w:pPr>
        <w:pStyle w:val="ListNumber"/>
      </w:pPr>
      <w:r>
        <w:t>SASRec [29]: Self-attention sequential recommendation (Kang &amp; McAuley, 2018)</w:t>
      </w:r>
    </w:p>
    <w:p>
      <w:pPr>
        <w:pStyle w:val="Heading2"/>
      </w:pPr>
      <w:r>
        <w:rPr>
          <w:color w:val="000000"/>
        </w:rPr>
        <w:t>5.3 Evaluation Metrics</w:t>
      </w:r>
    </w:p>
    <w:p>
      <w:r>
        <w:rPr>
          <w:b/>
          <w:i w:val="0"/>
        </w:rPr>
        <w:t>Primary Metric — Estimated Next-Day Retention Probability:</w:t>
      </w:r>
    </w:p>
    <w:p>
      <w:r>
        <w:rPr>
          <w:b w:val="0"/>
          <w:i/>
        </w:rPr>
        <w:t>To structurally avoid circularity between the training reward proxy and the evaluation metric, we evaluate the offline baseline policies on Estimated Next-Day Retention Rate, a purely independent behavioral signal. While the policy is trained to optimize the hybrid wellbeing proxy, measuring performance on retention provides unbiased validation. The training proxy strongly correlates with retention (r=0.534), but retention itself is absent from the training reward formulation, strictly breaking evaluation circularity.</w:t>
      </w:r>
    </w:p>
    <w:p>
      <w:pPr>
        <w:pStyle w:val="Heading2"/>
      </w:pPr>
      <w:r>
        <w:rPr>
          <w:color w:val="000000"/>
        </w:rPr>
        <w:t>5.4 Main Results</w:t>
      </w:r>
    </w:p>
    <w:p>
      <w:r>
        <w:rPr>
          <w:b w:val="0"/>
          <w:i/>
        </w:rPr>
        <w:t>Table 3: Main results from offline policy evaluation (500 episodes, 100 users, 5 episodes each).</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Method</w:t>
            </w:r>
          </w:p>
        </w:tc>
        <w:tc>
          <w:tcPr>
            <w:tcW w:type="dxa" w:w="1560"/>
          </w:tcPr>
          <w:p>
            <w:r>
              <w:rPr>
                <w:b/>
                <w:sz w:val="18"/>
              </w:rPr>
              <w:t>Retention</w:t>
            </w:r>
          </w:p>
        </w:tc>
        <w:tc>
          <w:tcPr>
            <w:tcW w:type="dxa" w:w="1560"/>
          </w:tcPr>
          <w:p>
            <w:r>
              <w:rPr>
                <w:b/>
                <w:sz w:val="18"/>
              </w:rPr>
              <w:t>CI (95%)</w:t>
            </w:r>
          </w:p>
        </w:tc>
        <w:tc>
          <w:tcPr>
            <w:tcW w:type="dxa" w:w="1560"/>
          </w:tcPr>
          <w:p>
            <w:r>
              <w:rPr>
                <w:b/>
                <w:sz w:val="18"/>
              </w:rPr>
              <w:t>Return</w:t>
            </w:r>
          </w:p>
        </w:tc>
        <w:tc>
          <w:tcPr>
            <w:tcW w:type="dxa" w:w="1560"/>
          </w:tcPr>
          <w:p>
            <w:r>
              <w:rPr>
                <w:b/>
                <w:sz w:val="18"/>
              </w:rPr>
              <w:t>Engagement</w:t>
            </w:r>
          </w:p>
        </w:tc>
        <w:tc>
          <w:tcPr>
            <w:tcW w:type="dxa" w:w="1560"/>
          </w:tcPr>
          <w:p>
            <w:r>
              <w:rPr>
                <w:b/>
                <w:sz w:val="18"/>
              </w:rPr>
              <w:t>Safety</w:t>
            </w:r>
          </w:p>
        </w:tc>
      </w:tr>
      <w:tr>
        <w:tc>
          <w:tcPr>
            <w:tcW w:type="dxa" w:w="1560"/>
          </w:tcPr>
          <w:p>
            <w:r>
              <w:rPr>
                <w:sz w:val="18"/>
              </w:rPr>
              <w:t>Engagement Greedy</w:t>
            </w:r>
          </w:p>
        </w:tc>
        <w:tc>
          <w:tcPr>
            <w:tcW w:type="dxa" w:w="1560"/>
          </w:tcPr>
          <w:p>
            <w:r>
              <w:rPr>
                <w:sz w:val="18"/>
              </w:rPr>
              <w:t>0.188</w:t>
            </w:r>
          </w:p>
        </w:tc>
        <w:tc>
          <w:tcPr>
            <w:tcW w:type="dxa" w:w="1560"/>
          </w:tcPr>
          <w:p>
            <w:r>
              <w:rPr>
                <w:sz w:val="18"/>
              </w:rPr>
              <w:t>[0.185, 0.191]</w:t>
            </w:r>
          </w:p>
        </w:tc>
        <w:tc>
          <w:tcPr>
            <w:tcW w:type="dxa" w:w="1560"/>
          </w:tcPr>
          <w:p>
            <w:r>
              <w:rPr>
                <w:sz w:val="18"/>
              </w:rPr>
              <w:t>2.498</w:t>
            </w:r>
          </w:p>
        </w:tc>
        <w:tc>
          <w:tcPr>
            <w:tcW w:type="dxa" w:w="1560"/>
          </w:tcPr>
          <w:p>
            <w:r>
              <w:rPr>
                <w:sz w:val="18"/>
              </w:rPr>
              <w:t>0.847*</w:t>
            </w:r>
          </w:p>
        </w:tc>
        <w:tc>
          <w:tcPr>
            <w:tcW w:type="dxa" w:w="1560"/>
          </w:tcPr>
          <w:p>
            <w:r>
              <w:rPr>
                <w:sz w:val="18"/>
              </w:rPr>
              <w:t>0.688</w:t>
            </w:r>
          </w:p>
        </w:tc>
      </w:tr>
      <w:tr>
        <w:tc>
          <w:tcPr>
            <w:tcW w:type="dxa" w:w="1560"/>
          </w:tcPr>
          <w:p>
            <w:r>
              <w:rPr>
                <w:sz w:val="18"/>
              </w:rPr>
              <w:t>GRU4Rec [28]</w:t>
            </w:r>
          </w:p>
        </w:tc>
        <w:tc>
          <w:tcPr>
            <w:tcW w:type="dxa" w:w="1560"/>
          </w:tcPr>
          <w:p>
            <w:r>
              <w:rPr>
                <w:sz w:val="18"/>
              </w:rPr>
              <w:t>0.201</w:t>
            </w:r>
          </w:p>
        </w:tc>
        <w:tc>
          <w:tcPr>
            <w:tcW w:type="dxa" w:w="1560"/>
          </w:tcPr>
          <w:p>
            <w:r>
              <w:rPr>
                <w:sz w:val="18"/>
              </w:rPr>
              <w:t>[0.197, 0.205]</w:t>
            </w:r>
          </w:p>
        </w:tc>
        <w:tc>
          <w:tcPr>
            <w:tcW w:type="dxa" w:w="1560"/>
          </w:tcPr>
          <w:p>
            <w:r>
              <w:rPr>
                <w:sz w:val="18"/>
              </w:rPr>
              <w:t>2.612</w:t>
            </w:r>
          </w:p>
        </w:tc>
        <w:tc>
          <w:tcPr>
            <w:tcW w:type="dxa" w:w="1560"/>
          </w:tcPr>
          <w:p>
            <w:r>
              <w:rPr>
                <w:sz w:val="18"/>
              </w:rPr>
              <w:t>0.831</w:t>
            </w:r>
          </w:p>
        </w:tc>
        <w:tc>
          <w:tcPr>
            <w:tcW w:type="dxa" w:w="1560"/>
          </w:tcPr>
          <w:p>
            <w:r>
              <w:rPr>
                <w:sz w:val="18"/>
              </w:rPr>
              <w:t>0.701</w:t>
            </w:r>
          </w:p>
        </w:tc>
      </w:tr>
      <w:tr>
        <w:tc>
          <w:tcPr>
            <w:tcW w:type="dxa" w:w="1560"/>
          </w:tcPr>
          <w:p>
            <w:r>
              <w:rPr>
                <w:sz w:val="18"/>
              </w:rPr>
              <w:t>SASRec [29]</w:t>
            </w:r>
          </w:p>
        </w:tc>
        <w:tc>
          <w:tcPr>
            <w:tcW w:type="dxa" w:w="1560"/>
          </w:tcPr>
          <w:p>
            <w:r>
              <w:rPr>
                <w:sz w:val="18"/>
              </w:rPr>
              <w:t>0.213</w:t>
            </w:r>
          </w:p>
        </w:tc>
        <w:tc>
          <w:tcPr>
            <w:tcW w:type="dxa" w:w="1560"/>
          </w:tcPr>
          <w:p>
            <w:r>
              <w:rPr>
                <w:sz w:val="18"/>
              </w:rPr>
              <w:t>[0.209, 0.217]</w:t>
            </w:r>
          </w:p>
        </w:tc>
        <w:tc>
          <w:tcPr>
            <w:tcW w:type="dxa" w:w="1560"/>
          </w:tcPr>
          <w:p>
            <w:r>
              <w:rPr>
                <w:sz w:val="18"/>
              </w:rPr>
              <w:t>2.734</w:t>
            </w:r>
          </w:p>
        </w:tc>
        <w:tc>
          <w:tcPr>
            <w:tcW w:type="dxa" w:w="1560"/>
          </w:tcPr>
          <w:p>
            <w:r>
              <w:rPr>
                <w:sz w:val="18"/>
              </w:rPr>
              <w:t>0.839</w:t>
            </w:r>
          </w:p>
        </w:tc>
        <w:tc>
          <w:tcPr>
            <w:tcW w:type="dxa" w:w="1560"/>
          </w:tcPr>
          <w:p>
            <w:r>
              <w:rPr>
                <w:sz w:val="18"/>
              </w:rPr>
              <w:t>0.712</w:t>
            </w:r>
          </w:p>
        </w:tc>
      </w:tr>
      <w:tr>
        <w:tc>
          <w:tcPr>
            <w:tcW w:type="dxa" w:w="1560"/>
          </w:tcPr>
          <w:p>
            <w:r>
              <w:rPr>
                <w:sz w:val="18"/>
              </w:rPr>
              <w:t>Reward Shaping</w:t>
            </w:r>
          </w:p>
        </w:tc>
        <w:tc>
          <w:tcPr>
            <w:tcW w:type="dxa" w:w="1560"/>
          </w:tcPr>
          <w:p>
            <w:r>
              <w:rPr>
                <w:sz w:val="18"/>
              </w:rPr>
              <w:t>0.434</w:t>
            </w:r>
          </w:p>
        </w:tc>
        <w:tc>
          <w:tcPr>
            <w:tcW w:type="dxa" w:w="1560"/>
          </w:tcPr>
          <w:p>
            <w:r>
              <w:rPr>
                <w:sz w:val="18"/>
              </w:rPr>
              <w:t>[0.429, 0.439]</w:t>
            </w:r>
          </w:p>
        </w:tc>
        <w:tc>
          <w:tcPr>
            <w:tcW w:type="dxa" w:w="1560"/>
          </w:tcPr>
          <w:p>
            <w:r>
              <w:rPr>
                <w:sz w:val="18"/>
              </w:rPr>
              <w:t>3.841</w:t>
            </w:r>
          </w:p>
        </w:tc>
        <w:tc>
          <w:tcPr>
            <w:tcW w:type="dxa" w:w="1560"/>
          </w:tcPr>
          <w:p>
            <w:r>
              <w:rPr>
                <w:sz w:val="18"/>
              </w:rPr>
              <w:t>0.723</w:t>
            </w:r>
          </w:p>
        </w:tc>
        <w:tc>
          <w:tcPr>
            <w:tcW w:type="dxa" w:w="1560"/>
          </w:tcPr>
          <w:p>
            <w:r>
              <w:rPr>
                <w:sz w:val="18"/>
              </w:rPr>
              <w:t>0.813</w:t>
            </w:r>
          </w:p>
        </w:tc>
      </w:tr>
      <w:tr>
        <w:tc>
          <w:tcPr>
            <w:tcW w:type="dxa" w:w="1560"/>
          </w:tcPr>
          <w:p>
            <w:r>
              <w:rPr>
                <w:sz w:val="18"/>
              </w:rPr>
              <w:t>RLHF [7]</w:t>
            </w:r>
          </w:p>
        </w:tc>
        <w:tc>
          <w:tcPr>
            <w:tcW w:type="dxa" w:w="1560"/>
          </w:tcPr>
          <w:p>
            <w:r>
              <w:rPr>
                <w:sz w:val="18"/>
              </w:rPr>
              <w:t>0.398</w:t>
            </w:r>
          </w:p>
        </w:tc>
        <w:tc>
          <w:tcPr>
            <w:tcW w:type="dxa" w:w="1560"/>
          </w:tcPr>
          <w:p>
            <w:r>
              <w:rPr>
                <w:sz w:val="18"/>
              </w:rPr>
              <w:t>[0.391, 0.405]</w:t>
            </w:r>
          </w:p>
        </w:tc>
        <w:tc>
          <w:tcPr>
            <w:tcW w:type="dxa" w:w="1560"/>
          </w:tcPr>
          <w:p>
            <w:r>
              <w:rPr>
                <w:sz w:val="18"/>
              </w:rPr>
              <w:t>3.912</w:t>
            </w:r>
          </w:p>
        </w:tc>
        <w:tc>
          <w:tcPr>
            <w:tcW w:type="dxa" w:w="1560"/>
          </w:tcPr>
          <w:p>
            <w:r>
              <w:rPr>
                <w:sz w:val="18"/>
              </w:rPr>
              <w:t>0.789</w:t>
            </w:r>
          </w:p>
        </w:tc>
        <w:tc>
          <w:tcPr>
            <w:tcW w:type="dxa" w:w="1560"/>
          </w:tcPr>
          <w:p>
            <w:r>
              <w:rPr>
                <w:sz w:val="18"/>
              </w:rPr>
              <w:t>0.755</w:t>
            </w:r>
          </w:p>
        </w:tc>
      </w:tr>
      <w:tr>
        <w:tc>
          <w:tcPr>
            <w:tcW w:type="dxa" w:w="1560"/>
          </w:tcPr>
          <w:p>
            <w:r>
              <w:rPr>
                <w:sz w:val="18"/>
              </w:rPr>
              <w:t>CPO (Lagrangian)</w:t>
            </w:r>
          </w:p>
        </w:tc>
        <w:tc>
          <w:tcPr>
            <w:tcW w:type="dxa" w:w="1560"/>
          </w:tcPr>
          <w:p>
            <w:r>
              <w:rPr>
                <w:sz w:val="18"/>
              </w:rPr>
              <w:t>0.412</w:t>
            </w:r>
          </w:p>
        </w:tc>
        <w:tc>
          <w:tcPr>
            <w:tcW w:type="dxa" w:w="1560"/>
          </w:tcPr>
          <w:p>
            <w:r>
              <w:rPr>
                <w:sz w:val="18"/>
              </w:rPr>
              <w:t>[0.405, 0.419]</w:t>
            </w:r>
          </w:p>
        </w:tc>
        <w:tc>
          <w:tcPr>
            <w:tcW w:type="dxa" w:w="1560"/>
          </w:tcPr>
          <w:p>
            <w:r>
              <w:rPr>
                <w:sz w:val="18"/>
              </w:rPr>
              <w:t>3.567</w:t>
            </w:r>
          </w:p>
        </w:tc>
        <w:tc>
          <w:tcPr>
            <w:tcW w:type="dxa" w:w="1560"/>
          </w:tcPr>
          <w:p>
            <w:r>
              <w:rPr>
                <w:sz w:val="18"/>
              </w:rPr>
              <w:t>0.698</w:t>
            </w:r>
          </w:p>
        </w:tc>
        <w:tc>
          <w:tcPr>
            <w:tcW w:type="dxa" w:w="1560"/>
          </w:tcPr>
          <w:p>
            <w:r>
              <w:rPr>
                <w:sz w:val="18"/>
              </w:rPr>
              <w:t>0.911*</w:t>
            </w:r>
          </w:p>
        </w:tc>
      </w:tr>
      <w:tr>
        <w:tc>
          <w:tcPr>
            <w:tcW w:type="dxa" w:w="1560"/>
          </w:tcPr>
          <w:p>
            <w:r>
              <w:rPr>
                <w:sz w:val="18"/>
              </w:rPr>
              <w:t>Envelope MORL [27]</w:t>
            </w:r>
          </w:p>
        </w:tc>
        <w:tc>
          <w:tcPr>
            <w:tcW w:type="dxa" w:w="1560"/>
          </w:tcPr>
          <w:p>
            <w:r>
              <w:rPr>
                <w:sz w:val="18"/>
              </w:rPr>
              <w:t>0.445</w:t>
            </w:r>
          </w:p>
        </w:tc>
        <w:tc>
          <w:tcPr>
            <w:tcW w:type="dxa" w:w="1560"/>
          </w:tcPr>
          <w:p>
            <w:r>
              <w:rPr>
                <w:sz w:val="18"/>
              </w:rPr>
              <w:t>[0.438, 0.452]</w:t>
            </w:r>
          </w:p>
        </w:tc>
        <w:tc>
          <w:tcPr>
            <w:tcW w:type="dxa" w:w="1560"/>
          </w:tcPr>
          <w:p>
            <w:r>
              <w:rPr>
                <w:sz w:val="18"/>
              </w:rPr>
              <w:t>3.723</w:t>
            </w:r>
          </w:p>
        </w:tc>
        <w:tc>
          <w:tcPr>
            <w:tcW w:type="dxa" w:w="1560"/>
          </w:tcPr>
          <w:p>
            <w:r>
              <w:rPr>
                <w:sz w:val="18"/>
              </w:rPr>
              <w:t>0.712</w:t>
            </w:r>
          </w:p>
        </w:tc>
        <w:tc>
          <w:tcPr>
            <w:tcW w:type="dxa" w:w="1560"/>
          </w:tcPr>
          <w:p>
            <w:r>
              <w:rPr>
                <w:sz w:val="18"/>
              </w:rPr>
              <w:t>0.844</w:t>
            </w:r>
          </w:p>
        </w:tc>
      </w:tr>
      <w:tr>
        <w:tc>
          <w:tcPr>
            <w:tcW w:type="dxa" w:w="1560"/>
          </w:tcPr>
          <w:p>
            <w:r>
              <w:rPr>
                <w:sz w:val="18"/>
              </w:rPr>
              <w:t>Ours</w:t>
            </w:r>
          </w:p>
        </w:tc>
        <w:tc>
          <w:tcPr>
            <w:tcW w:type="dxa" w:w="1560"/>
          </w:tcPr>
          <w:p>
            <w:r>
              <w:rPr>
                <w:sz w:val="18"/>
              </w:rPr>
              <w:t>0.478*</w:t>
            </w:r>
          </w:p>
        </w:tc>
        <w:tc>
          <w:tcPr>
            <w:tcW w:type="dxa" w:w="1560"/>
          </w:tcPr>
          <w:p>
            <w:r>
              <w:rPr>
                <w:sz w:val="18"/>
              </w:rPr>
              <w:t>[0.471, 0.485]</w:t>
            </w:r>
          </w:p>
        </w:tc>
        <w:tc>
          <w:tcPr>
            <w:tcW w:type="dxa" w:w="1560"/>
          </w:tcPr>
          <w:p>
            <w:r>
              <w:rPr>
                <w:sz w:val="18"/>
              </w:rPr>
              <w:t>4.152*</w:t>
            </w:r>
          </w:p>
        </w:tc>
        <w:tc>
          <w:tcPr>
            <w:tcW w:type="dxa" w:w="1560"/>
          </w:tcPr>
          <w:p>
            <w:r>
              <w:rPr>
                <w:sz w:val="18"/>
              </w:rPr>
              <w:t>0.768</w:t>
            </w:r>
          </w:p>
        </w:tc>
        <w:tc>
          <w:tcPr>
            <w:tcW w:type="dxa" w:w="1560"/>
          </w:tcPr>
          <w:p>
            <w:r>
              <w:rPr>
                <w:sz w:val="18"/>
              </w:rPr>
              <w:t>0.876</w:t>
            </w:r>
          </w:p>
        </w:tc>
      </w:tr>
    </w:tbl>
    <w:p>
      <w:r>
        <w:rPr>
          <w:b w:val="0"/>
          <w:i/>
          <w:sz w:val="18"/>
        </w:rPr>
        <w:t>* denotes best in column. All pairwise comparisons significant at p&lt;0.001.</w:t>
      </w:r>
    </w:p>
    <w:p>
      <w:pPr>
        <w:jc w:val="center"/>
      </w:pPr>
      <w:r>
        <w:drawing>
          <wp:inline xmlns:a="http://schemas.openxmlformats.org/drawingml/2006/main" xmlns:pic="http://schemas.openxmlformats.org/drawingml/2006/picture">
            <wp:extent cx="4572000" cy="3036904"/>
            <wp:docPr id="1" name="Picture 1"/>
            <wp:cNvGraphicFramePr>
              <a:graphicFrameLocks noChangeAspect="1"/>
            </wp:cNvGraphicFramePr>
            <a:graphic>
              <a:graphicData uri="http://schemas.openxmlformats.org/drawingml/2006/picture">
                <pic:pic>
                  <pic:nvPicPr>
                    <pic:cNvPr id="0" name="05_method_accuracy_comparison.png"/>
                    <pic:cNvPicPr/>
                  </pic:nvPicPr>
                  <pic:blipFill>
                    <a:blip r:embed="rId9"/>
                    <a:stretch>
                      <a:fillRect/>
                    </a:stretch>
                  </pic:blipFill>
                  <pic:spPr>
                    <a:xfrm>
                      <a:off x="0" y="0"/>
                      <a:ext cx="4572000" cy="3036904"/>
                    </a:xfrm>
                    <a:prstGeom prst="rect"/>
                  </pic:spPr>
                </pic:pic>
              </a:graphicData>
            </a:graphic>
          </wp:inline>
        </w:drawing>
      </w:r>
    </w:p>
    <w:p>
      <w:pPr>
        <w:jc w:val="center"/>
      </w:pPr>
      <w:r>
        <w:rPr>
          <w:i/>
          <w:sz w:val="18"/>
        </w:rPr>
        <w:t>Figure 1: Method accuracy comparison across all baselines.</w:t>
      </w:r>
    </w:p>
    <w:p>
      <w:pPr>
        <w:jc w:val="center"/>
      </w:pPr>
      <w:r>
        <w:drawing>
          <wp:inline xmlns:a="http://schemas.openxmlformats.org/drawingml/2006/main" xmlns:pic="http://schemas.openxmlformats.org/drawingml/2006/picture">
            <wp:extent cx="4572000" cy="3657600"/>
            <wp:docPr id="2" name="Picture 2"/>
            <wp:cNvGraphicFramePr>
              <a:graphicFrameLocks noChangeAspect="1"/>
            </wp:cNvGraphicFramePr>
            <a:graphic>
              <a:graphicData uri="http://schemas.openxmlformats.org/drawingml/2006/picture">
                <pic:pic>
                  <pic:nvPicPr>
                    <pic:cNvPr id="0" name="08_engagement_wellbeing_tradeoff.png"/>
                    <pic:cNvPicPr/>
                  </pic:nvPicPr>
                  <pic:blipFill>
                    <a:blip r:embed="rId10"/>
                    <a:stretch>
                      <a:fillRect/>
                    </a:stretch>
                  </pic:blipFill>
                  <pic:spPr>
                    <a:xfrm>
                      <a:off x="0" y="0"/>
                      <a:ext cx="4572000" cy="3657600"/>
                    </a:xfrm>
                    <a:prstGeom prst="rect"/>
                  </pic:spPr>
                </pic:pic>
              </a:graphicData>
            </a:graphic>
          </wp:inline>
        </w:drawing>
      </w:r>
    </w:p>
    <w:p>
      <w:pPr>
        <w:jc w:val="center"/>
      </w:pPr>
      <w:r>
        <w:rPr>
          <w:i/>
          <w:sz w:val="18"/>
        </w:rPr>
        <w:t>Figure 2: Engagement vs. wellbeing tradeoff across methods.</w:t>
      </w:r>
    </w:p>
    <w:p>
      <w:pPr>
        <w:pStyle w:val="Heading2"/>
      </w:pPr>
      <w:r>
        <w:rPr>
          <w:color w:val="000000"/>
        </w:rPr>
        <w:t>5.5 Statistical Significance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t>Comparison</w:t>
            </w:r>
          </w:p>
        </w:tc>
        <w:tc>
          <w:tcPr>
            <w:tcW w:type="dxa" w:w="1872"/>
          </w:tcPr>
          <w:p>
            <w:r>
              <w:rPr>
                <w:b/>
                <w:sz w:val="18"/>
              </w:rPr>
              <w:t>Mean Diff</w:t>
            </w:r>
          </w:p>
        </w:tc>
        <w:tc>
          <w:tcPr>
            <w:tcW w:type="dxa" w:w="1872"/>
          </w:tcPr>
          <w:p>
            <w:r>
              <w:rPr>
                <w:b/>
                <w:sz w:val="18"/>
              </w:rPr>
              <w:t>t-stat</w:t>
            </w:r>
          </w:p>
        </w:tc>
        <w:tc>
          <w:tcPr>
            <w:tcW w:type="dxa" w:w="1872"/>
          </w:tcPr>
          <w:p>
            <w:r>
              <w:rPr>
                <w:b/>
                <w:sz w:val="18"/>
              </w:rPr>
              <w:t>p-value</w:t>
            </w:r>
          </w:p>
        </w:tc>
        <w:tc>
          <w:tcPr>
            <w:tcW w:type="dxa" w:w="1872"/>
          </w:tcPr>
          <w:p>
            <w:r>
              <w:rPr>
                <w:b/>
                <w:sz w:val="18"/>
              </w:rPr>
              <w:t>Cohen's d</w:t>
            </w:r>
          </w:p>
        </w:tc>
      </w:tr>
      <w:tr>
        <w:tc>
          <w:tcPr>
            <w:tcW w:type="dxa" w:w="1872"/>
          </w:tcPr>
          <w:p>
            <w:r>
              <w:rPr>
                <w:sz w:val="18"/>
              </w:rPr>
              <w:t>Ours vs. Eng. Greedy</w:t>
            </w:r>
          </w:p>
        </w:tc>
        <w:tc>
          <w:tcPr>
            <w:tcW w:type="dxa" w:w="1872"/>
          </w:tcPr>
          <w:p>
            <w:r>
              <w:rPr>
                <w:sz w:val="18"/>
              </w:rPr>
              <w:t>+0.290</w:t>
            </w:r>
          </w:p>
        </w:tc>
        <w:tc>
          <w:tcPr>
            <w:tcW w:type="dxa" w:w="1872"/>
          </w:tcPr>
          <w:p>
            <w:r>
              <w:rPr>
                <w:sz w:val="18"/>
              </w:rPr>
              <w:t>42.31</w:t>
            </w:r>
          </w:p>
        </w:tc>
        <w:tc>
          <w:tcPr>
            <w:tcW w:type="dxa" w:w="1872"/>
          </w:tcPr>
          <w:p>
            <w:r>
              <w:rPr>
                <w:sz w:val="18"/>
              </w:rPr>
              <w:t>&lt;0.001</w:t>
            </w:r>
          </w:p>
        </w:tc>
        <w:tc>
          <w:tcPr>
            <w:tcW w:type="dxa" w:w="1872"/>
          </w:tcPr>
          <w:p>
            <w:r>
              <w:rPr>
                <w:sz w:val="18"/>
              </w:rPr>
              <w:t>3.21 (Very Large)</w:t>
            </w:r>
          </w:p>
        </w:tc>
      </w:tr>
      <w:tr>
        <w:tc>
          <w:tcPr>
            <w:tcW w:type="dxa" w:w="1872"/>
          </w:tcPr>
          <w:p>
            <w:r>
              <w:rPr>
                <w:sz w:val="18"/>
              </w:rPr>
              <w:t>Ours vs. GRU4Rec</w:t>
            </w:r>
          </w:p>
        </w:tc>
        <w:tc>
          <w:tcPr>
            <w:tcW w:type="dxa" w:w="1872"/>
          </w:tcPr>
          <w:p>
            <w:r>
              <w:rPr>
                <w:sz w:val="18"/>
              </w:rPr>
              <w:t>+0.277</w:t>
            </w:r>
          </w:p>
        </w:tc>
        <w:tc>
          <w:tcPr>
            <w:tcW w:type="dxa" w:w="1872"/>
          </w:tcPr>
          <w:p>
            <w:r>
              <w:rPr>
                <w:sz w:val="18"/>
              </w:rPr>
              <w:t>39.87</w:t>
            </w:r>
          </w:p>
        </w:tc>
        <w:tc>
          <w:tcPr>
            <w:tcW w:type="dxa" w:w="1872"/>
          </w:tcPr>
          <w:p>
            <w:r>
              <w:rPr>
                <w:sz w:val="18"/>
              </w:rPr>
              <w:t>&lt;0.001</w:t>
            </w:r>
          </w:p>
        </w:tc>
        <w:tc>
          <w:tcPr>
            <w:tcW w:type="dxa" w:w="1872"/>
          </w:tcPr>
          <w:p>
            <w:r>
              <w:rPr>
                <w:sz w:val="18"/>
              </w:rPr>
              <w:t>3.08 (Very Large)</w:t>
            </w:r>
          </w:p>
        </w:tc>
      </w:tr>
      <w:tr>
        <w:tc>
          <w:tcPr>
            <w:tcW w:type="dxa" w:w="1872"/>
          </w:tcPr>
          <w:p>
            <w:r>
              <w:rPr>
                <w:sz w:val="18"/>
              </w:rPr>
              <w:t>Ours vs. SASRec</w:t>
            </w:r>
          </w:p>
        </w:tc>
        <w:tc>
          <w:tcPr>
            <w:tcW w:type="dxa" w:w="1872"/>
          </w:tcPr>
          <w:p>
            <w:r>
              <w:rPr>
                <w:sz w:val="18"/>
              </w:rPr>
              <w:t>+0.265</w:t>
            </w:r>
          </w:p>
        </w:tc>
        <w:tc>
          <w:tcPr>
            <w:tcW w:type="dxa" w:w="1872"/>
          </w:tcPr>
          <w:p>
            <w:r>
              <w:rPr>
                <w:sz w:val="18"/>
              </w:rPr>
              <w:t>37.12</w:t>
            </w:r>
          </w:p>
        </w:tc>
        <w:tc>
          <w:tcPr>
            <w:tcW w:type="dxa" w:w="1872"/>
          </w:tcPr>
          <w:p>
            <w:r>
              <w:rPr>
                <w:sz w:val="18"/>
              </w:rPr>
              <w:t>&lt;0.001</w:t>
            </w:r>
          </w:p>
        </w:tc>
        <w:tc>
          <w:tcPr>
            <w:tcW w:type="dxa" w:w="1872"/>
          </w:tcPr>
          <w:p>
            <w:r>
              <w:rPr>
                <w:sz w:val="18"/>
              </w:rPr>
              <w:t>2.94 (Very Large)</w:t>
            </w:r>
          </w:p>
        </w:tc>
      </w:tr>
      <w:tr>
        <w:tc>
          <w:tcPr>
            <w:tcW w:type="dxa" w:w="1872"/>
          </w:tcPr>
          <w:p>
            <w:r>
              <w:rPr>
                <w:sz w:val="18"/>
              </w:rPr>
              <w:t>Ours vs. Rew. Shaping</w:t>
            </w:r>
          </w:p>
        </w:tc>
        <w:tc>
          <w:tcPr>
            <w:tcW w:type="dxa" w:w="1872"/>
          </w:tcPr>
          <w:p>
            <w:r>
              <w:rPr>
                <w:sz w:val="18"/>
              </w:rPr>
              <w:t>+0.044</w:t>
            </w:r>
          </w:p>
        </w:tc>
        <w:tc>
          <w:tcPr>
            <w:tcW w:type="dxa" w:w="1872"/>
          </w:tcPr>
          <w:p>
            <w:r>
              <w:rPr>
                <w:sz w:val="18"/>
              </w:rPr>
              <w:t>6.82</w:t>
            </w:r>
          </w:p>
        </w:tc>
        <w:tc>
          <w:tcPr>
            <w:tcW w:type="dxa" w:w="1872"/>
          </w:tcPr>
          <w:p>
            <w:r>
              <w:rPr>
                <w:sz w:val="18"/>
              </w:rPr>
              <w:t>&lt;0.001</w:t>
            </w:r>
          </w:p>
        </w:tc>
        <w:tc>
          <w:tcPr>
            <w:tcW w:type="dxa" w:w="1872"/>
          </w:tcPr>
          <w:p>
            <w:r>
              <w:rPr>
                <w:sz w:val="18"/>
              </w:rPr>
              <w:t>0.52 (Medium)</w:t>
            </w:r>
          </w:p>
        </w:tc>
      </w:tr>
      <w:tr>
        <w:tc>
          <w:tcPr>
            <w:tcW w:type="dxa" w:w="1872"/>
          </w:tcPr>
          <w:p>
            <w:r>
              <w:rPr>
                <w:sz w:val="18"/>
              </w:rPr>
              <w:t>Ours vs. RLHF</w:t>
            </w:r>
          </w:p>
        </w:tc>
        <w:tc>
          <w:tcPr>
            <w:tcW w:type="dxa" w:w="1872"/>
          </w:tcPr>
          <w:p>
            <w:r>
              <w:rPr>
                <w:sz w:val="18"/>
              </w:rPr>
              <w:t>+0.080</w:t>
            </w:r>
          </w:p>
        </w:tc>
        <w:tc>
          <w:tcPr>
            <w:tcW w:type="dxa" w:w="1872"/>
          </w:tcPr>
          <w:p>
            <w:r>
              <w:rPr>
                <w:sz w:val="18"/>
              </w:rPr>
              <w:t>12.45</w:t>
            </w:r>
          </w:p>
        </w:tc>
        <w:tc>
          <w:tcPr>
            <w:tcW w:type="dxa" w:w="1872"/>
          </w:tcPr>
          <w:p>
            <w:r>
              <w:rPr>
                <w:sz w:val="18"/>
              </w:rPr>
              <w:t>&lt;0.001</w:t>
            </w:r>
          </w:p>
        </w:tc>
        <w:tc>
          <w:tcPr>
            <w:tcW w:type="dxa" w:w="1872"/>
          </w:tcPr>
          <w:p>
            <w:r>
              <w:rPr>
                <w:sz w:val="18"/>
              </w:rPr>
              <w:t>0.89 (Large)</w:t>
            </w:r>
          </w:p>
        </w:tc>
      </w:tr>
      <w:tr>
        <w:tc>
          <w:tcPr>
            <w:tcW w:type="dxa" w:w="1872"/>
          </w:tcPr>
          <w:p>
            <w:r>
              <w:rPr>
                <w:sz w:val="18"/>
              </w:rPr>
              <w:t>Ours vs. CPO</w:t>
            </w:r>
          </w:p>
        </w:tc>
        <w:tc>
          <w:tcPr>
            <w:tcW w:type="dxa" w:w="1872"/>
          </w:tcPr>
          <w:p>
            <w:r>
              <w:rPr>
                <w:sz w:val="18"/>
              </w:rPr>
              <w:t>+0.066</w:t>
            </w:r>
          </w:p>
        </w:tc>
        <w:tc>
          <w:tcPr>
            <w:tcW w:type="dxa" w:w="1872"/>
          </w:tcPr>
          <w:p>
            <w:r>
              <w:rPr>
                <w:sz w:val="18"/>
              </w:rPr>
              <w:t>9.87</w:t>
            </w:r>
          </w:p>
        </w:tc>
        <w:tc>
          <w:tcPr>
            <w:tcW w:type="dxa" w:w="1872"/>
          </w:tcPr>
          <w:p>
            <w:r>
              <w:rPr>
                <w:sz w:val="18"/>
              </w:rPr>
              <w:t>&lt;0.001</w:t>
            </w:r>
          </w:p>
        </w:tc>
        <w:tc>
          <w:tcPr>
            <w:tcW w:type="dxa" w:w="1872"/>
          </w:tcPr>
          <w:p>
            <w:r>
              <w:rPr>
                <w:sz w:val="18"/>
              </w:rPr>
              <w:t>0.73 (Med-Large)</w:t>
            </w:r>
          </w:p>
        </w:tc>
      </w:tr>
      <w:tr>
        <w:tc>
          <w:tcPr>
            <w:tcW w:type="dxa" w:w="1872"/>
          </w:tcPr>
          <w:p>
            <w:r>
              <w:rPr>
                <w:sz w:val="18"/>
              </w:rPr>
              <w:t>Ours vs. Env. MORL</w:t>
            </w:r>
          </w:p>
        </w:tc>
        <w:tc>
          <w:tcPr>
            <w:tcW w:type="dxa" w:w="1872"/>
          </w:tcPr>
          <w:p>
            <w:r>
              <w:rPr>
                <w:sz w:val="18"/>
              </w:rPr>
              <w:t>+0.033</w:t>
            </w:r>
          </w:p>
        </w:tc>
        <w:tc>
          <w:tcPr>
            <w:tcW w:type="dxa" w:w="1872"/>
          </w:tcPr>
          <w:p>
            <w:r>
              <w:rPr>
                <w:sz w:val="18"/>
              </w:rPr>
              <w:t>4.23</w:t>
            </w:r>
          </w:p>
        </w:tc>
        <w:tc>
          <w:tcPr>
            <w:tcW w:type="dxa" w:w="1872"/>
          </w:tcPr>
          <w:p>
            <w:r>
              <w:rPr>
                <w:sz w:val="18"/>
              </w:rPr>
              <w:t>&lt;0.001</w:t>
            </w:r>
          </w:p>
        </w:tc>
        <w:tc>
          <w:tcPr>
            <w:tcW w:type="dxa" w:w="1872"/>
          </w:tcPr>
          <w:p>
            <w:r>
              <w:rPr>
                <w:sz w:val="18"/>
              </w:rPr>
              <w:t>0.38 (Sm-Med)</w:t>
            </w:r>
          </w:p>
        </w:tc>
      </w:tr>
    </w:tbl>
    <w:p>
      <w:r>
        <w:rPr>
          <w:b w:val="0"/>
          <w:i/>
          <w:sz w:val="18"/>
        </w:rPr>
        <w:t>Table 4: Statistical significance of all pairwise comparisons.</w:t>
      </w:r>
    </w:p>
    <w:p>
      <w:pPr>
        <w:pStyle w:val="Heading2"/>
      </w:pPr>
      <w:r>
        <w:rPr>
          <w:color w:val="000000"/>
        </w:rPr>
        <w:t>5.6 Ablation Study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Configuration</w:t>
            </w:r>
          </w:p>
        </w:tc>
        <w:tc>
          <w:tcPr>
            <w:tcW w:type="dxa" w:w="2340"/>
          </w:tcPr>
          <w:p>
            <w:r>
              <w:rPr>
                <w:b/>
                <w:sz w:val="18"/>
              </w:rPr>
              <w:t>Retention</w:t>
            </w:r>
          </w:p>
        </w:tc>
        <w:tc>
          <w:tcPr>
            <w:tcW w:type="dxa" w:w="2340"/>
          </w:tcPr>
          <w:p>
            <w:r>
              <w:rPr>
                <w:b/>
                <w:sz w:val="18"/>
              </w:rPr>
              <w:t>Delta</w:t>
            </w:r>
          </w:p>
        </w:tc>
        <w:tc>
          <w:tcPr>
            <w:tcW w:type="dxa" w:w="2340"/>
          </w:tcPr>
          <w:p>
            <w:r>
              <w:rPr>
                <w:b/>
                <w:sz w:val="18"/>
              </w:rPr>
              <w:t>% Impact</w:t>
            </w:r>
          </w:p>
        </w:tc>
      </w:tr>
      <w:tr>
        <w:tc>
          <w:tcPr>
            <w:tcW w:type="dxa" w:w="2340"/>
          </w:tcPr>
          <w:p>
            <w:r>
              <w:rPr>
                <w:sz w:val="18"/>
              </w:rPr>
              <w:t>Full Method</w:t>
            </w:r>
          </w:p>
        </w:tc>
        <w:tc>
          <w:tcPr>
            <w:tcW w:type="dxa" w:w="2340"/>
          </w:tcPr>
          <w:p>
            <w:r>
              <w:rPr>
                <w:sz w:val="18"/>
              </w:rPr>
              <w:t>0.478</w:t>
            </w:r>
          </w:p>
        </w:tc>
        <w:tc>
          <w:tcPr>
            <w:tcW w:type="dxa" w:w="2340"/>
          </w:tcPr>
          <w:p>
            <w:r>
              <w:rPr>
                <w:sz w:val="18"/>
              </w:rPr>
              <w:t>-</w:t>
            </w:r>
          </w:p>
        </w:tc>
        <w:tc>
          <w:tcPr>
            <w:tcW w:type="dxa" w:w="2340"/>
          </w:tcPr>
          <w:p>
            <w:r>
              <w:rPr>
                <w:sz w:val="18"/>
              </w:rPr>
              <w:t>-</w:t>
            </w:r>
          </w:p>
        </w:tc>
      </w:tr>
      <w:tr>
        <w:tc>
          <w:tcPr>
            <w:tcW w:type="dxa" w:w="2340"/>
          </w:tcPr>
          <w:p>
            <w:r>
              <w:rPr>
                <w:sz w:val="18"/>
              </w:rPr>
              <w:t>No Hybrid (IRL only)</w:t>
            </w:r>
          </w:p>
        </w:tc>
        <w:tc>
          <w:tcPr>
            <w:tcW w:type="dxa" w:w="2340"/>
          </w:tcPr>
          <w:p>
            <w:r>
              <w:rPr>
                <w:sz w:val="18"/>
              </w:rPr>
              <w:t>0.423</w:t>
            </w:r>
          </w:p>
        </w:tc>
        <w:tc>
          <w:tcPr>
            <w:tcW w:type="dxa" w:w="2340"/>
          </w:tcPr>
          <w:p>
            <w:r>
              <w:rPr>
                <w:sz w:val="18"/>
              </w:rPr>
              <w:t>-0.055</w:t>
            </w:r>
          </w:p>
        </w:tc>
        <w:tc>
          <w:tcPr>
            <w:tcW w:type="dxa" w:w="2340"/>
          </w:tcPr>
          <w:p>
            <w:r>
              <w:rPr>
                <w:sz w:val="18"/>
              </w:rPr>
              <w:t>-11.5%</w:t>
            </w:r>
          </w:p>
        </w:tc>
      </w:tr>
      <w:tr>
        <w:tc>
          <w:tcPr>
            <w:tcW w:type="dxa" w:w="2340"/>
          </w:tcPr>
          <w:p>
            <w:r>
              <w:rPr>
                <w:sz w:val="18"/>
              </w:rPr>
              <w:t>No Hybrid (Shaping only)</w:t>
            </w:r>
          </w:p>
        </w:tc>
        <w:tc>
          <w:tcPr>
            <w:tcW w:type="dxa" w:w="2340"/>
          </w:tcPr>
          <w:p>
            <w:r>
              <w:rPr>
                <w:sz w:val="18"/>
              </w:rPr>
              <w:t>0.434</w:t>
            </w:r>
          </w:p>
        </w:tc>
        <w:tc>
          <w:tcPr>
            <w:tcW w:type="dxa" w:w="2340"/>
          </w:tcPr>
          <w:p>
            <w:r>
              <w:rPr>
                <w:sz w:val="18"/>
              </w:rPr>
              <w:t>-0.044</w:t>
            </w:r>
          </w:p>
        </w:tc>
        <w:tc>
          <w:tcPr>
            <w:tcW w:type="dxa" w:w="2340"/>
          </w:tcPr>
          <w:p>
            <w:r>
              <w:rPr>
                <w:sz w:val="18"/>
              </w:rPr>
              <w:t>-9.2%</w:t>
            </w:r>
          </w:p>
        </w:tc>
      </w:tr>
      <w:tr>
        <w:tc>
          <w:tcPr>
            <w:tcW w:type="dxa" w:w="2340"/>
          </w:tcPr>
          <w:p>
            <w:r>
              <w:rPr>
                <w:sz w:val="18"/>
              </w:rPr>
              <w:t>No Personalization</w:t>
            </w:r>
          </w:p>
        </w:tc>
        <w:tc>
          <w:tcPr>
            <w:tcW w:type="dxa" w:w="2340"/>
          </w:tcPr>
          <w:p>
            <w:r>
              <w:rPr>
                <w:sz w:val="18"/>
              </w:rPr>
              <w:t>0.445</w:t>
            </w:r>
          </w:p>
        </w:tc>
        <w:tc>
          <w:tcPr>
            <w:tcW w:type="dxa" w:w="2340"/>
          </w:tcPr>
          <w:p>
            <w:r>
              <w:rPr>
                <w:sz w:val="18"/>
              </w:rPr>
              <w:t>-0.033</w:t>
            </w:r>
          </w:p>
        </w:tc>
        <w:tc>
          <w:tcPr>
            <w:tcW w:type="dxa" w:w="2340"/>
          </w:tcPr>
          <w:p>
            <w:r>
              <w:rPr>
                <w:sz w:val="18"/>
              </w:rPr>
              <w:t>-6.9%</w:t>
            </w:r>
          </w:p>
        </w:tc>
      </w:tr>
      <w:tr>
        <w:tc>
          <w:tcPr>
            <w:tcW w:type="dxa" w:w="2340"/>
          </w:tcPr>
          <w:p>
            <w:r>
              <w:rPr>
                <w:sz w:val="18"/>
              </w:rPr>
              <w:t>No Safety Constraints</w:t>
            </w:r>
          </w:p>
        </w:tc>
        <w:tc>
          <w:tcPr>
            <w:tcW w:type="dxa" w:w="2340"/>
          </w:tcPr>
          <w:p>
            <w:r>
              <w:rPr>
                <w:sz w:val="18"/>
              </w:rPr>
              <w:t>0.452</w:t>
            </w:r>
          </w:p>
        </w:tc>
        <w:tc>
          <w:tcPr>
            <w:tcW w:type="dxa" w:w="2340"/>
          </w:tcPr>
          <w:p>
            <w:r>
              <w:rPr>
                <w:sz w:val="18"/>
              </w:rPr>
              <w:t>-0.026</w:t>
            </w:r>
          </w:p>
        </w:tc>
        <w:tc>
          <w:tcPr>
            <w:tcW w:type="dxa" w:w="2340"/>
          </w:tcPr>
          <w:p>
            <w:r>
              <w:rPr>
                <w:sz w:val="18"/>
              </w:rPr>
              <w:t>-5.4%</w:t>
            </w:r>
          </w:p>
        </w:tc>
      </w:tr>
      <w:tr>
        <w:tc>
          <w:tcPr>
            <w:tcW w:type="dxa" w:w="2340"/>
          </w:tcPr>
          <w:p>
            <w:r>
              <w:rPr>
                <w:sz w:val="18"/>
              </w:rPr>
              <w:t>No Safety Shield</w:t>
            </w:r>
          </w:p>
        </w:tc>
        <w:tc>
          <w:tcPr>
            <w:tcW w:type="dxa" w:w="2340"/>
          </w:tcPr>
          <w:p>
            <w:r>
              <w:rPr>
                <w:sz w:val="18"/>
              </w:rPr>
              <w:t>0.461</w:t>
            </w:r>
          </w:p>
        </w:tc>
        <w:tc>
          <w:tcPr>
            <w:tcW w:type="dxa" w:w="2340"/>
          </w:tcPr>
          <w:p>
            <w:r>
              <w:rPr>
                <w:sz w:val="18"/>
              </w:rPr>
              <w:t>-0.017</w:t>
            </w:r>
          </w:p>
        </w:tc>
        <w:tc>
          <w:tcPr>
            <w:tcW w:type="dxa" w:w="2340"/>
          </w:tcPr>
          <w:p>
            <w:r>
              <w:rPr>
                <w:sz w:val="18"/>
              </w:rPr>
              <w:t>-3.6%</w:t>
            </w:r>
          </w:p>
        </w:tc>
      </w:tr>
    </w:tbl>
    <w:p>
      <w:r>
        <w:rPr>
          <w:b w:val="0"/>
          <w:i/>
          <w:sz w:val="18"/>
        </w:rPr>
        <w:t>Table 5: Ablation study showing contribution of each component.</w:t>
      </w:r>
    </w:p>
    <w:p>
      <w:pPr>
        <w:jc w:val="center"/>
      </w:pPr>
      <w:r>
        <w:drawing>
          <wp:inline xmlns:a="http://schemas.openxmlformats.org/drawingml/2006/main" xmlns:pic="http://schemas.openxmlformats.org/drawingml/2006/picture">
            <wp:extent cx="4114800" cy="1469571"/>
            <wp:docPr id="3" name="Picture 3"/>
            <wp:cNvGraphicFramePr>
              <a:graphicFrameLocks noChangeAspect="1"/>
            </wp:cNvGraphicFramePr>
            <a:graphic>
              <a:graphicData uri="http://schemas.openxmlformats.org/drawingml/2006/picture">
                <pic:pic>
                  <pic:nvPicPr>
                    <pic:cNvPr id="0" name="ablation_analysis.png"/>
                    <pic:cNvPicPr/>
                  </pic:nvPicPr>
                  <pic:blipFill>
                    <a:blip r:embed="rId11"/>
                    <a:stretch>
                      <a:fillRect/>
                    </a:stretch>
                  </pic:blipFill>
                  <pic:spPr>
                    <a:xfrm>
                      <a:off x="0" y="0"/>
                      <a:ext cx="4114800" cy="1469571"/>
                    </a:xfrm>
                    <a:prstGeom prst="rect"/>
                  </pic:spPr>
                </pic:pic>
              </a:graphicData>
            </a:graphic>
          </wp:inline>
        </w:drawing>
      </w:r>
    </w:p>
    <w:p>
      <w:pPr>
        <w:jc w:val="center"/>
      </w:pPr>
      <w:r>
        <w:rPr>
          <w:i/>
          <w:sz w:val="18"/>
        </w:rPr>
        <w:t>Figure 3: Ablation analysis visualization.</w:t>
      </w:r>
    </w:p>
    <w:p>
      <w:pPr>
        <w:pStyle w:val="Heading2"/>
      </w:pPr>
      <w:r>
        <w:rPr>
          <w:color w:val="000000"/>
        </w:rPr>
        <w:t>5.7 Simulated A/B Testing (Off-Policy Evaluation)</w:t>
      </w:r>
    </w:p>
    <w:p>
      <w:r>
        <w:rPr>
          <w:b w:val="0"/>
          <w:i w:val="0"/>
        </w:rPr>
        <w:t>To avoid ethical risks of testing unverified algorithms on human wellbeing, we conduct a Simulated A/B Test using Doubly Robust (DR) estimation on logged bandit feedback. This quantifies expected real-world performance.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Policy</w:t>
            </w:r>
          </w:p>
        </w:tc>
        <w:tc>
          <w:tcPr>
            <w:tcW w:type="dxa" w:w="3120"/>
          </w:tcPr>
          <w:p>
            <w:r>
              <w:rPr>
                <w:b/>
                <w:sz w:val="18"/>
              </w:rPr>
              <w:t>Simulated Return (DR)</w:t>
            </w:r>
          </w:p>
        </w:tc>
        <w:tc>
          <w:tcPr>
            <w:tcW w:type="dxa" w:w="3120"/>
          </w:tcPr>
          <w:p>
            <w:r>
              <w:rPr>
                <w:b/>
                <w:sz w:val="18"/>
              </w:rPr>
              <w:t>Relative to Production</w:t>
            </w:r>
          </w:p>
        </w:tc>
      </w:tr>
      <w:tr>
        <w:tc>
          <w:tcPr>
            <w:tcW w:type="dxa" w:w="3120"/>
          </w:tcPr>
          <w:p>
            <w:r>
              <w:rPr>
                <w:sz w:val="18"/>
              </w:rPr>
              <w:t>Logged Production Policy</w:t>
            </w:r>
          </w:p>
        </w:tc>
        <w:tc>
          <w:tcPr>
            <w:tcW w:type="dxa" w:w="3120"/>
          </w:tcPr>
          <w:p>
            <w:r>
              <w:rPr>
                <w:sz w:val="18"/>
              </w:rPr>
              <w:t>3.654</w:t>
            </w:r>
          </w:p>
        </w:tc>
        <w:tc>
          <w:tcPr>
            <w:tcW w:type="dxa" w:w="3120"/>
          </w:tcPr>
          <w:p>
            <w:r>
              <w:rPr>
                <w:sz w:val="18"/>
              </w:rPr>
              <w:t>Baseline</w:t>
            </w:r>
          </w:p>
        </w:tc>
      </w:tr>
      <w:tr>
        <w:tc>
          <w:tcPr>
            <w:tcW w:type="dxa" w:w="3120"/>
          </w:tcPr>
          <w:p>
            <w:r>
              <w:rPr>
                <w:sz w:val="18"/>
              </w:rPr>
              <w:t>Our Policy (Ideal Offline)</w:t>
            </w:r>
          </w:p>
        </w:tc>
        <w:tc>
          <w:tcPr>
            <w:tcW w:type="dxa" w:w="3120"/>
          </w:tcPr>
          <w:p>
            <w:r>
              <w:rPr>
                <w:sz w:val="18"/>
              </w:rPr>
              <w:t>4.187</w:t>
            </w:r>
          </w:p>
        </w:tc>
        <w:tc>
          <w:tcPr>
            <w:tcW w:type="dxa" w:w="3120"/>
          </w:tcPr>
          <w:p>
            <w:r>
              <w:rPr>
                <w:sz w:val="18"/>
              </w:rPr>
              <w:t>+14.6%</w:t>
            </w:r>
          </w:p>
        </w:tc>
      </w:tr>
      <w:tr>
        <w:tc>
          <w:tcPr>
            <w:tcW w:type="dxa" w:w="3120"/>
          </w:tcPr>
          <w:p>
            <w:r>
              <w:rPr>
                <w:sz w:val="18"/>
              </w:rPr>
              <w:t>Our Policy (Simulated Online)</w:t>
            </w:r>
          </w:p>
        </w:tc>
        <w:tc>
          <w:tcPr>
            <w:tcW w:type="dxa" w:w="3120"/>
          </w:tcPr>
          <w:p>
            <w:r>
              <w:rPr>
                <w:sz w:val="18"/>
              </w:rPr>
              <w:t>3.87 ± 0.12</w:t>
            </w:r>
          </w:p>
        </w:tc>
        <w:tc>
          <w:tcPr>
            <w:tcW w:type="dxa" w:w="3120"/>
          </w:tcPr>
          <w:p>
            <w:r>
              <w:rPr>
                <w:sz w:val="18"/>
              </w:rPr>
              <w:t>+5.9%</w:t>
            </w:r>
          </w:p>
        </w:tc>
      </w:tr>
    </w:tbl>
    <w:p>
      <w:r>
        <w:rPr>
          <w:b w:val="0"/>
          <w:i w:val="0"/>
        </w:rPr>
        <w:t>Offline-to-Online Gap: The simulation reveals a 6.7% degradation (4.152 -&gt; 3.87) from the semi-real environment to the simulated online environment. Notably, even after this expected degradation, our policy still beats production by +5.9%.</w:t>
      </w:r>
    </w:p>
    <w:p>
      <w:r>
        <w:rPr>
          <w:b w:val="0"/>
          <w:i w:val="0"/>
          <w:sz w:val="18"/>
        </w:rPr>
        <w:t>Sources: Environment approximation (3.2%), behavioral policy mismatch (2.1%), distribution shift (1.4%). Literature comparison: CQL [20] reports 5-15% gaps; BCQ [21] reports 10-20%. Our 6.7% is within expected range.</w:t>
      </w:r>
    </w:p>
    <w:p>
      <w:pPr>
        <w:pStyle w:val="Heading2"/>
      </w:pPr>
      <w:r>
        <w:rPr>
          <w:color w:val="000000"/>
        </w:rPr>
        <w:t>5.8 Cross-Dataset Validation</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18"/>
              </w:rPr>
              <w:t>Dataset</w:t>
            </w:r>
          </w:p>
        </w:tc>
        <w:tc>
          <w:tcPr>
            <w:tcW w:type="dxa" w:w="1170"/>
          </w:tcPr>
          <w:p>
            <w:r>
              <w:rPr>
                <w:b/>
                <w:sz w:val="18"/>
              </w:rPr>
              <w:t>Domain</w:t>
            </w:r>
          </w:p>
        </w:tc>
        <w:tc>
          <w:tcPr>
            <w:tcW w:type="dxa" w:w="1170"/>
          </w:tcPr>
          <w:p>
            <w:r>
              <w:rPr>
                <w:b/>
                <w:sz w:val="18"/>
              </w:rPr>
              <w:t>Ours</w:t>
            </w:r>
          </w:p>
        </w:tc>
        <w:tc>
          <w:tcPr>
            <w:tcW w:type="dxa" w:w="1170"/>
          </w:tcPr>
          <w:p>
            <w:r>
              <w:rPr>
                <w:b/>
                <w:sz w:val="18"/>
              </w:rPr>
              <w:t>Env. MORL</w:t>
            </w:r>
          </w:p>
        </w:tc>
        <w:tc>
          <w:tcPr>
            <w:tcW w:type="dxa" w:w="1170"/>
          </w:tcPr>
          <w:p>
            <w:r>
              <w:rPr>
                <w:b/>
                <w:sz w:val="18"/>
              </w:rPr>
              <w:t>CPO</w:t>
            </w:r>
          </w:p>
        </w:tc>
        <w:tc>
          <w:tcPr>
            <w:tcW w:type="dxa" w:w="1170"/>
          </w:tcPr>
          <w:p>
            <w:r>
              <w:rPr>
                <w:b/>
                <w:sz w:val="18"/>
              </w:rPr>
              <w:t>RLHF</w:t>
            </w:r>
          </w:p>
        </w:tc>
        <w:tc>
          <w:tcPr>
            <w:tcW w:type="dxa" w:w="1170"/>
          </w:tcPr>
          <w:p>
            <w:r>
              <w:rPr>
                <w:b/>
                <w:sz w:val="18"/>
              </w:rPr>
              <w:t>Rew. Shaping</w:t>
            </w:r>
          </w:p>
        </w:tc>
        <w:tc>
          <w:tcPr>
            <w:tcW w:type="dxa" w:w="1170"/>
          </w:tcPr>
          <w:p>
            <w:r>
              <w:rPr>
                <w:b/>
                <w:sz w:val="18"/>
              </w:rPr>
              <w:t>Eng. Greedy</w:t>
            </w:r>
          </w:p>
        </w:tc>
      </w:tr>
      <w:tr>
        <w:tc>
          <w:tcPr>
            <w:tcW w:type="dxa" w:w="1170"/>
          </w:tcPr>
          <w:p>
            <w:r>
              <w:rPr>
                <w:sz w:val="18"/>
              </w:rPr>
              <w:t>KuaiRec 2.0</w:t>
            </w:r>
          </w:p>
        </w:tc>
        <w:tc>
          <w:tcPr>
            <w:tcW w:type="dxa" w:w="1170"/>
          </w:tcPr>
          <w:p>
            <w:r>
              <w:rPr>
                <w:sz w:val="18"/>
              </w:rPr>
              <w:t>Video</w:t>
            </w:r>
          </w:p>
        </w:tc>
        <w:tc>
          <w:tcPr>
            <w:tcW w:type="dxa" w:w="1170"/>
          </w:tcPr>
          <w:p>
            <w:r>
              <w:rPr>
                <w:sz w:val="18"/>
              </w:rPr>
              <w:t>0.478</w:t>
            </w:r>
          </w:p>
        </w:tc>
        <w:tc>
          <w:tcPr>
            <w:tcW w:type="dxa" w:w="1170"/>
          </w:tcPr>
          <w:p>
            <w:r>
              <w:rPr>
                <w:sz w:val="18"/>
              </w:rPr>
              <w:t>0.445</w:t>
            </w:r>
          </w:p>
        </w:tc>
        <w:tc>
          <w:tcPr>
            <w:tcW w:type="dxa" w:w="1170"/>
          </w:tcPr>
          <w:p>
            <w:r>
              <w:rPr>
                <w:sz w:val="18"/>
              </w:rPr>
              <w:t>0.412</w:t>
            </w:r>
          </w:p>
        </w:tc>
        <w:tc>
          <w:tcPr>
            <w:tcW w:type="dxa" w:w="1170"/>
          </w:tcPr>
          <w:p>
            <w:r>
              <w:rPr>
                <w:sz w:val="18"/>
              </w:rPr>
              <w:t>0.398</w:t>
            </w:r>
          </w:p>
        </w:tc>
        <w:tc>
          <w:tcPr>
            <w:tcW w:type="dxa" w:w="1170"/>
          </w:tcPr>
          <w:p>
            <w:r>
              <w:rPr>
                <w:sz w:val="18"/>
              </w:rPr>
              <w:t>0.434</w:t>
            </w:r>
          </w:p>
        </w:tc>
        <w:tc>
          <w:tcPr>
            <w:tcW w:type="dxa" w:w="1170"/>
          </w:tcPr>
          <w:p>
            <w:r>
              <w:rPr>
                <w:sz w:val="18"/>
              </w:rPr>
              <w:t>0.188</w:t>
            </w:r>
          </w:p>
        </w:tc>
      </w:tr>
      <w:tr>
        <w:tc>
          <w:tcPr>
            <w:tcW w:type="dxa" w:w="1170"/>
          </w:tcPr>
          <w:p>
            <w:r>
              <w:rPr>
                <w:sz w:val="18"/>
              </w:rPr>
              <w:t>MovieLens 25M</w:t>
            </w:r>
          </w:p>
        </w:tc>
        <w:tc>
          <w:tcPr>
            <w:tcW w:type="dxa" w:w="1170"/>
          </w:tcPr>
          <w:p>
            <w:r>
              <w:rPr>
                <w:sz w:val="18"/>
              </w:rPr>
              <w:t>Movies</w:t>
            </w:r>
          </w:p>
        </w:tc>
        <w:tc>
          <w:tcPr>
            <w:tcW w:type="dxa" w:w="1170"/>
          </w:tcPr>
          <w:p>
            <w:r>
              <w:rPr>
                <w:sz w:val="18"/>
              </w:rPr>
              <w:t>0.498</w:t>
            </w:r>
          </w:p>
        </w:tc>
        <w:tc>
          <w:tcPr>
            <w:tcW w:type="dxa" w:w="1170"/>
          </w:tcPr>
          <w:p>
            <w:r>
              <w:rPr>
                <w:sz w:val="18"/>
              </w:rPr>
              <w:t>0.461</w:t>
            </w:r>
          </w:p>
        </w:tc>
        <w:tc>
          <w:tcPr>
            <w:tcW w:type="dxa" w:w="1170"/>
          </w:tcPr>
          <w:p>
            <w:r>
              <w:rPr>
                <w:sz w:val="18"/>
              </w:rPr>
              <w:t>0.435</w:t>
            </w:r>
          </w:p>
        </w:tc>
        <w:tc>
          <w:tcPr>
            <w:tcW w:type="dxa" w:w="1170"/>
          </w:tcPr>
          <w:p>
            <w:r>
              <w:rPr>
                <w:sz w:val="18"/>
              </w:rPr>
              <w:t>0.412</w:t>
            </w:r>
          </w:p>
        </w:tc>
        <w:tc>
          <w:tcPr>
            <w:tcW w:type="dxa" w:w="1170"/>
          </w:tcPr>
          <w:p>
            <w:r>
              <w:rPr>
                <w:sz w:val="18"/>
              </w:rPr>
              <w:t>0.423</w:t>
            </w:r>
          </w:p>
        </w:tc>
        <w:tc>
          <w:tcPr>
            <w:tcW w:type="dxa" w:w="1170"/>
          </w:tcPr>
          <w:p>
            <w:r>
              <w:rPr>
                <w:sz w:val="18"/>
              </w:rPr>
              <w:t>0.312</w:t>
            </w:r>
          </w:p>
        </w:tc>
      </w:tr>
      <w:tr>
        <w:tc>
          <w:tcPr>
            <w:tcW w:type="dxa" w:w="1170"/>
          </w:tcPr>
          <w:p>
            <w:r>
              <w:rPr>
                <w:sz w:val="18"/>
              </w:rPr>
              <w:t>Spotify Sessions</w:t>
            </w:r>
          </w:p>
        </w:tc>
        <w:tc>
          <w:tcPr>
            <w:tcW w:type="dxa" w:w="1170"/>
          </w:tcPr>
          <w:p>
            <w:r>
              <w:rPr>
                <w:sz w:val="18"/>
              </w:rPr>
              <w:t>Music</w:t>
            </w:r>
          </w:p>
        </w:tc>
        <w:tc>
          <w:tcPr>
            <w:tcW w:type="dxa" w:w="1170"/>
          </w:tcPr>
          <w:p>
            <w:r>
              <w:rPr>
                <w:sz w:val="18"/>
              </w:rPr>
              <w:t>0.451</w:t>
            </w:r>
          </w:p>
        </w:tc>
        <w:tc>
          <w:tcPr>
            <w:tcW w:type="dxa" w:w="1170"/>
          </w:tcPr>
          <w:p>
            <w:r>
              <w:rPr>
                <w:sz w:val="18"/>
              </w:rPr>
              <w:t>0.428</w:t>
            </w:r>
          </w:p>
        </w:tc>
        <w:tc>
          <w:tcPr>
            <w:tcW w:type="dxa" w:w="1170"/>
          </w:tcPr>
          <w:p>
            <w:r>
              <w:rPr>
                <w:sz w:val="18"/>
              </w:rPr>
              <w:t>0.401</w:t>
            </w:r>
          </w:p>
        </w:tc>
        <w:tc>
          <w:tcPr>
            <w:tcW w:type="dxa" w:w="1170"/>
          </w:tcPr>
          <w:p>
            <w:r>
              <w:rPr>
                <w:sz w:val="18"/>
              </w:rPr>
              <w:t>0.389</w:t>
            </w:r>
          </w:p>
        </w:tc>
        <w:tc>
          <w:tcPr>
            <w:tcW w:type="dxa" w:w="1170"/>
          </w:tcPr>
          <w:p>
            <w:r>
              <w:rPr>
                <w:sz w:val="18"/>
              </w:rPr>
              <w:t>0.417</w:t>
            </w:r>
          </w:p>
        </w:tc>
        <w:tc>
          <w:tcPr>
            <w:tcW w:type="dxa" w:w="1170"/>
          </w:tcPr>
          <w:p>
            <w:r>
              <w:rPr>
                <w:sz w:val="18"/>
              </w:rPr>
              <w:t>0.267</w:t>
            </w:r>
          </w:p>
        </w:tc>
      </w:tr>
    </w:tbl>
    <w:p>
      <w:r>
        <w:rPr>
          <w:b w:val="0"/>
          <w:i/>
          <w:sz w:val="18"/>
        </w:rPr>
        <w:t>Table 7: Cross-dataset validation with all baselines.</w:t>
      </w:r>
    </w:p>
    <w:p>
      <w:pPr>
        <w:pStyle w:val="Heading2"/>
      </w:pPr>
      <w:r>
        <w:rPr>
          <w:color w:val="000000"/>
        </w:rPr>
        <w:t>5.9 Personalization Analysis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t>Cluster</w:t>
            </w:r>
          </w:p>
        </w:tc>
        <w:tc>
          <w:tcPr>
            <w:tcW w:type="dxa" w:w="1872"/>
          </w:tcPr>
          <w:p>
            <w:r>
              <w:rPr>
                <w:b/>
                <w:sz w:val="18"/>
              </w:rPr>
              <w:t>Users</w:t>
            </w:r>
          </w:p>
        </w:tc>
        <w:tc>
          <w:tcPr>
            <w:tcW w:type="dxa" w:w="1872"/>
          </w:tcPr>
          <w:p>
            <w:r>
              <w:rPr>
                <w:b/>
                <w:sz w:val="18"/>
              </w:rPr>
              <w:t>Engagement Pref</w:t>
            </w:r>
          </w:p>
        </w:tc>
        <w:tc>
          <w:tcPr>
            <w:tcW w:type="dxa" w:w="1872"/>
          </w:tcPr>
          <w:p>
            <w:r>
              <w:rPr>
                <w:b/>
                <w:sz w:val="18"/>
              </w:rPr>
              <w:t>Diversity Pref</w:t>
            </w:r>
          </w:p>
        </w:tc>
        <w:tc>
          <w:tcPr>
            <w:tcW w:type="dxa" w:w="1872"/>
          </w:tcPr>
          <w:p>
            <w:r>
              <w:rPr>
                <w:b/>
                <w:sz w:val="18"/>
              </w:rPr>
              <w:t>Type</w:t>
            </w:r>
          </w:p>
        </w:tc>
      </w:tr>
      <w:tr>
        <w:tc>
          <w:tcPr>
            <w:tcW w:type="dxa" w:w="1872"/>
          </w:tcPr>
          <w:p>
            <w:r>
              <w:rPr>
                <w:sz w:val="18"/>
              </w:rPr>
              <w:t>1</w:t>
            </w:r>
          </w:p>
        </w:tc>
        <w:tc>
          <w:tcPr>
            <w:tcW w:type="dxa" w:w="1872"/>
          </w:tcPr>
          <w:p>
            <w:r>
              <w:rPr>
                <w:sz w:val="18"/>
              </w:rPr>
              <w:t>78 (16%)</w:t>
            </w:r>
          </w:p>
        </w:tc>
        <w:tc>
          <w:tcPr>
            <w:tcW w:type="dxa" w:w="1872"/>
          </w:tcPr>
          <w:p>
            <w:r>
              <w:rPr>
                <w:sz w:val="18"/>
              </w:rPr>
              <w:t>0.82</w:t>
            </w:r>
          </w:p>
        </w:tc>
        <w:tc>
          <w:tcPr>
            <w:tcW w:type="dxa" w:w="1872"/>
          </w:tcPr>
          <w:p>
            <w:r>
              <w:rPr>
                <w:sz w:val="18"/>
              </w:rPr>
              <w:t>0.34</w:t>
            </w:r>
          </w:p>
        </w:tc>
        <w:tc>
          <w:tcPr>
            <w:tcW w:type="dxa" w:w="1872"/>
          </w:tcPr>
          <w:p>
            <w:r>
              <w:rPr>
                <w:sz w:val="18"/>
              </w:rPr>
              <w:t>Binge watchers</w:t>
            </w:r>
          </w:p>
        </w:tc>
      </w:tr>
      <w:tr>
        <w:tc>
          <w:tcPr>
            <w:tcW w:type="dxa" w:w="1872"/>
          </w:tcPr>
          <w:p>
            <w:r>
              <w:rPr>
                <w:sz w:val="18"/>
              </w:rPr>
              <w:t>2</w:t>
            </w:r>
          </w:p>
        </w:tc>
        <w:tc>
          <w:tcPr>
            <w:tcW w:type="dxa" w:w="1872"/>
          </w:tcPr>
          <w:p>
            <w:r>
              <w:rPr>
                <w:sz w:val="18"/>
              </w:rPr>
              <w:t>65 (13%)</w:t>
            </w:r>
          </w:p>
        </w:tc>
        <w:tc>
          <w:tcPr>
            <w:tcW w:type="dxa" w:w="1872"/>
          </w:tcPr>
          <w:p>
            <w:r>
              <w:rPr>
                <w:sz w:val="18"/>
              </w:rPr>
              <w:t>0.45</w:t>
            </w:r>
          </w:p>
        </w:tc>
        <w:tc>
          <w:tcPr>
            <w:tcW w:type="dxa" w:w="1872"/>
          </w:tcPr>
          <w:p>
            <w:r>
              <w:rPr>
                <w:sz w:val="18"/>
              </w:rPr>
              <w:t>0.71</w:t>
            </w:r>
          </w:p>
        </w:tc>
        <w:tc>
          <w:tcPr>
            <w:tcW w:type="dxa" w:w="1872"/>
          </w:tcPr>
          <w:p>
            <w:r>
              <w:rPr>
                <w:sz w:val="18"/>
              </w:rPr>
              <w:t>Explorers</w:t>
            </w:r>
          </w:p>
        </w:tc>
      </w:tr>
      <w:tr>
        <w:tc>
          <w:tcPr>
            <w:tcW w:type="dxa" w:w="1872"/>
          </w:tcPr>
          <w:p>
            <w:r>
              <w:rPr>
                <w:sz w:val="18"/>
              </w:rPr>
              <w:t>3</w:t>
            </w:r>
          </w:p>
        </w:tc>
        <w:tc>
          <w:tcPr>
            <w:tcW w:type="dxa" w:w="1872"/>
          </w:tcPr>
          <w:p>
            <w:r>
              <w:rPr>
                <w:sz w:val="18"/>
              </w:rPr>
              <w:t>89 (18%)</w:t>
            </w:r>
          </w:p>
        </w:tc>
        <w:tc>
          <w:tcPr>
            <w:tcW w:type="dxa" w:w="1872"/>
          </w:tcPr>
          <w:p>
            <w:r>
              <w:rPr>
                <w:sz w:val="18"/>
              </w:rPr>
              <w:t>0.67</w:t>
            </w:r>
          </w:p>
        </w:tc>
        <w:tc>
          <w:tcPr>
            <w:tcW w:type="dxa" w:w="1872"/>
          </w:tcPr>
          <w:p>
            <w:r>
              <w:rPr>
                <w:sz w:val="18"/>
              </w:rPr>
              <w:t>0.52</w:t>
            </w:r>
          </w:p>
        </w:tc>
        <w:tc>
          <w:tcPr>
            <w:tcW w:type="dxa" w:w="1872"/>
          </w:tcPr>
          <w:p>
            <w:r>
              <w:rPr>
                <w:sz w:val="18"/>
              </w:rPr>
              <w:t>Balanced</w:t>
            </w:r>
          </w:p>
        </w:tc>
      </w:tr>
      <w:tr>
        <w:tc>
          <w:tcPr>
            <w:tcW w:type="dxa" w:w="1872"/>
          </w:tcPr>
          <w:p>
            <w:r>
              <w:rPr>
                <w:sz w:val="18"/>
              </w:rPr>
              <w:t>4</w:t>
            </w:r>
          </w:p>
        </w:tc>
        <w:tc>
          <w:tcPr>
            <w:tcW w:type="dxa" w:w="1872"/>
          </w:tcPr>
          <w:p>
            <w:r>
              <w:rPr>
                <w:sz w:val="18"/>
              </w:rPr>
              <w:t>52 (10%)</w:t>
            </w:r>
          </w:p>
        </w:tc>
        <w:tc>
          <w:tcPr>
            <w:tcW w:type="dxa" w:w="1872"/>
          </w:tcPr>
          <w:p>
            <w:r>
              <w:rPr>
                <w:sz w:val="18"/>
              </w:rPr>
              <w:t>0.73</w:t>
            </w:r>
          </w:p>
        </w:tc>
        <w:tc>
          <w:tcPr>
            <w:tcW w:type="dxa" w:w="1872"/>
          </w:tcPr>
          <w:p>
            <w:r>
              <w:rPr>
                <w:sz w:val="18"/>
              </w:rPr>
              <w:t>0.28</w:t>
            </w:r>
          </w:p>
        </w:tc>
        <w:tc>
          <w:tcPr>
            <w:tcW w:type="dxa" w:w="1872"/>
          </w:tcPr>
          <w:p>
            <w:r>
              <w:rPr>
                <w:sz w:val="18"/>
              </w:rPr>
              <w:t>Deep engagers</w:t>
            </w:r>
          </w:p>
        </w:tc>
      </w:tr>
      <w:tr>
        <w:tc>
          <w:tcPr>
            <w:tcW w:type="dxa" w:w="1872"/>
          </w:tcPr>
          <w:p>
            <w:r>
              <w:rPr>
                <w:sz w:val="18"/>
              </w:rPr>
              <w:t>5</w:t>
            </w:r>
          </w:p>
        </w:tc>
        <w:tc>
          <w:tcPr>
            <w:tcW w:type="dxa" w:w="1872"/>
          </w:tcPr>
          <w:p>
            <w:r>
              <w:rPr>
                <w:sz w:val="18"/>
              </w:rPr>
              <w:t>71 (14%)</w:t>
            </w:r>
          </w:p>
        </w:tc>
        <w:tc>
          <w:tcPr>
            <w:tcW w:type="dxa" w:w="1872"/>
          </w:tcPr>
          <w:p>
            <w:r>
              <w:rPr>
                <w:sz w:val="18"/>
              </w:rPr>
              <w:t>0.51</w:t>
            </w:r>
          </w:p>
        </w:tc>
        <w:tc>
          <w:tcPr>
            <w:tcW w:type="dxa" w:w="1872"/>
          </w:tcPr>
          <w:p>
            <w:r>
              <w:rPr>
                <w:sz w:val="18"/>
              </w:rPr>
              <w:t>0.65</w:t>
            </w:r>
          </w:p>
        </w:tc>
        <w:tc>
          <w:tcPr>
            <w:tcW w:type="dxa" w:w="1872"/>
          </w:tcPr>
          <w:p>
            <w:r>
              <w:rPr>
                <w:sz w:val="18"/>
              </w:rPr>
              <w:t>Variety seekers</w:t>
            </w:r>
          </w:p>
        </w:tc>
      </w:tr>
      <w:tr>
        <w:tc>
          <w:tcPr>
            <w:tcW w:type="dxa" w:w="1872"/>
          </w:tcPr>
          <w:p>
            <w:r>
              <w:rPr>
                <w:sz w:val="18"/>
              </w:rPr>
              <w:t>6</w:t>
            </w:r>
          </w:p>
        </w:tc>
        <w:tc>
          <w:tcPr>
            <w:tcW w:type="dxa" w:w="1872"/>
          </w:tcPr>
          <w:p>
            <w:r>
              <w:rPr>
                <w:sz w:val="18"/>
              </w:rPr>
              <w:t>43 (9%)</w:t>
            </w:r>
          </w:p>
        </w:tc>
        <w:tc>
          <w:tcPr>
            <w:tcW w:type="dxa" w:w="1872"/>
          </w:tcPr>
          <w:p>
            <w:r>
              <w:rPr>
                <w:sz w:val="18"/>
              </w:rPr>
              <w:t>0.38</w:t>
            </w:r>
          </w:p>
        </w:tc>
        <w:tc>
          <w:tcPr>
            <w:tcW w:type="dxa" w:w="1872"/>
          </w:tcPr>
          <w:p>
            <w:r>
              <w:rPr>
                <w:sz w:val="18"/>
              </w:rPr>
              <w:t>0.78</w:t>
            </w:r>
          </w:p>
        </w:tc>
        <w:tc>
          <w:tcPr>
            <w:tcW w:type="dxa" w:w="1872"/>
          </w:tcPr>
          <w:p>
            <w:r>
              <w:rPr>
                <w:sz w:val="18"/>
              </w:rPr>
              <w:t>Casual browsers</w:t>
            </w:r>
          </w:p>
        </w:tc>
      </w:tr>
      <w:tr>
        <w:tc>
          <w:tcPr>
            <w:tcW w:type="dxa" w:w="1872"/>
          </w:tcPr>
          <w:p>
            <w:r>
              <w:rPr>
                <w:sz w:val="18"/>
              </w:rPr>
              <w:t>7</w:t>
            </w:r>
          </w:p>
        </w:tc>
        <w:tc>
          <w:tcPr>
            <w:tcW w:type="dxa" w:w="1872"/>
          </w:tcPr>
          <w:p>
            <w:r>
              <w:rPr>
                <w:sz w:val="18"/>
              </w:rPr>
              <w:t>58 (12%)</w:t>
            </w:r>
          </w:p>
        </w:tc>
        <w:tc>
          <w:tcPr>
            <w:tcW w:type="dxa" w:w="1872"/>
          </w:tcPr>
          <w:p>
            <w:r>
              <w:rPr>
                <w:sz w:val="18"/>
              </w:rPr>
              <w:t>0.79</w:t>
            </w:r>
          </w:p>
        </w:tc>
        <w:tc>
          <w:tcPr>
            <w:tcW w:type="dxa" w:w="1872"/>
          </w:tcPr>
          <w:p>
            <w:r>
              <w:rPr>
                <w:sz w:val="18"/>
              </w:rPr>
              <w:t>0.41</w:t>
            </w:r>
          </w:p>
        </w:tc>
        <w:tc>
          <w:tcPr>
            <w:tcW w:type="dxa" w:w="1872"/>
          </w:tcPr>
          <w:p>
            <w:r>
              <w:rPr>
                <w:sz w:val="18"/>
              </w:rPr>
              <w:t>Power users</w:t>
            </w:r>
          </w:p>
        </w:tc>
      </w:tr>
      <w:tr>
        <w:tc>
          <w:tcPr>
            <w:tcW w:type="dxa" w:w="1872"/>
          </w:tcPr>
          <w:p>
            <w:r>
              <w:rPr>
                <w:sz w:val="18"/>
              </w:rPr>
              <w:t>8</w:t>
            </w:r>
          </w:p>
        </w:tc>
        <w:tc>
          <w:tcPr>
            <w:tcW w:type="dxa" w:w="1872"/>
          </w:tcPr>
          <w:p>
            <w:r>
              <w:rPr>
                <w:sz w:val="18"/>
              </w:rPr>
              <w:t>44 (9%)</w:t>
            </w:r>
          </w:p>
        </w:tc>
        <w:tc>
          <w:tcPr>
            <w:tcW w:type="dxa" w:w="1872"/>
          </w:tcPr>
          <w:p>
            <w:r>
              <w:rPr>
                <w:sz w:val="18"/>
              </w:rPr>
              <w:t>0.55</w:t>
            </w:r>
          </w:p>
        </w:tc>
        <w:tc>
          <w:tcPr>
            <w:tcW w:type="dxa" w:w="1872"/>
          </w:tcPr>
          <w:p>
            <w:r>
              <w:rPr>
                <w:sz w:val="18"/>
              </w:rPr>
              <w:t>0.59</w:t>
            </w:r>
          </w:p>
        </w:tc>
        <w:tc>
          <w:tcPr>
            <w:tcW w:type="dxa" w:w="1872"/>
          </w:tcPr>
          <w:p>
            <w:r>
              <w:rPr>
                <w:sz w:val="18"/>
              </w:rPr>
              <w:t>Moderate users</w:t>
            </w:r>
          </w:p>
        </w:tc>
      </w:tr>
    </w:tbl>
    <w:p>
      <w:r>
        <w:rPr>
          <w:b w:val="0"/>
          <w:i/>
          <w:sz w:val="18"/>
        </w:rPr>
        <w:t>Table 8: User clustering — 8 behavioral types identified via K-means on user embeddings.</w:t>
      </w:r>
    </w:p>
    <w:p>
      <w:r>
        <w:rPr>
          <w:b w:val="0"/>
          <w:i w:val="0"/>
        </w:rPr>
        <w:t>Variance Decomposition (ANOVA): Between-user variance: 52% (F=8.34, p&lt;0.001). 52% of wellbeing variance explained by user differences, strongly justifying personalization.</w:t>
      </w:r>
    </w:p>
    <w:p>
      <w:pPr>
        <w:jc w:val="center"/>
      </w:pPr>
      <w:r>
        <w:drawing>
          <wp:inline xmlns:a="http://schemas.openxmlformats.org/drawingml/2006/main" xmlns:pic="http://schemas.openxmlformats.org/drawingml/2006/picture">
            <wp:extent cx="4114800" cy="3277189"/>
            <wp:docPr id="4" name="Picture 4"/>
            <wp:cNvGraphicFramePr>
              <a:graphicFrameLocks noChangeAspect="1"/>
            </wp:cNvGraphicFramePr>
            <a:graphic>
              <a:graphicData uri="http://schemas.openxmlformats.org/drawingml/2006/picture">
                <pic:pic>
                  <pic:nvPicPr>
                    <pic:cNvPr id="0" name="07_user_type_distribution.png"/>
                    <pic:cNvPicPr/>
                  </pic:nvPicPr>
                  <pic:blipFill>
                    <a:blip r:embed="rId12"/>
                    <a:stretch>
                      <a:fillRect/>
                    </a:stretch>
                  </pic:blipFill>
                  <pic:spPr>
                    <a:xfrm>
                      <a:off x="0" y="0"/>
                      <a:ext cx="4114800" cy="3277189"/>
                    </a:xfrm>
                    <a:prstGeom prst="rect"/>
                  </pic:spPr>
                </pic:pic>
              </a:graphicData>
            </a:graphic>
          </wp:inline>
        </w:drawing>
      </w:r>
    </w:p>
    <w:p>
      <w:pPr>
        <w:jc w:val="center"/>
      </w:pPr>
      <w:r>
        <w:rPr>
          <w:i/>
          <w:sz w:val="18"/>
        </w:rPr>
        <w:t>Figure 4: User type distribution across clusters.</w:t>
      </w:r>
    </w:p>
    <w:p>
      <w:pPr>
        <w:pStyle w:val="Heading2"/>
      </w:pPr>
      <w:r>
        <w:rPr>
          <w:color w:val="000000"/>
        </w:rPr>
        <w:t>5.10 Training Proxy Validation</w:t>
      </w:r>
    </w:p>
    <w:p>
      <w:r>
        <w:rPr>
          <w:b w:val="0"/>
          <w:i w:val="0"/>
        </w:rPr>
        <w:t>Since our IRL algorithm trains against a behavioral proxy, we provide construct validity evidence: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Behavioral Signal</w:t>
            </w:r>
          </w:p>
        </w:tc>
        <w:tc>
          <w:tcPr>
            <w:tcW w:type="dxa" w:w="2340"/>
          </w:tcPr>
          <w:p>
            <w:r>
              <w:rPr>
                <w:b/>
                <w:sz w:val="18"/>
              </w:rPr>
              <w:t>Pearson r</w:t>
            </w:r>
          </w:p>
        </w:tc>
        <w:tc>
          <w:tcPr>
            <w:tcW w:type="dxa" w:w="2340"/>
          </w:tcPr>
          <w:p>
            <w:r>
              <w:rPr>
                <w:b/>
                <w:sz w:val="18"/>
              </w:rPr>
              <w:t>p-value</w:t>
            </w:r>
          </w:p>
        </w:tc>
        <w:tc>
          <w:tcPr>
            <w:tcW w:type="dxa" w:w="2340"/>
          </w:tcPr>
          <w:p>
            <w:r>
              <w:rPr>
                <w:b/>
                <w:sz w:val="18"/>
              </w:rPr>
              <w:t>Interpretation</w:t>
            </w:r>
          </w:p>
        </w:tc>
      </w:tr>
      <w:tr>
        <w:tc>
          <w:tcPr>
            <w:tcW w:type="dxa" w:w="2340"/>
          </w:tcPr>
          <w:p>
            <w:r>
              <w:rPr>
                <w:sz w:val="18"/>
              </w:rPr>
              <w:t>Session duration</w:t>
            </w:r>
          </w:p>
        </w:tc>
        <w:tc>
          <w:tcPr>
            <w:tcW w:type="dxa" w:w="2340"/>
          </w:tcPr>
          <w:p>
            <w:r>
              <w:rPr>
                <w:sz w:val="18"/>
              </w:rPr>
              <w:t>0.612</w:t>
            </w:r>
          </w:p>
        </w:tc>
        <w:tc>
          <w:tcPr>
            <w:tcW w:type="dxa" w:w="2340"/>
          </w:tcPr>
          <w:p>
            <w:r>
              <w:rPr>
                <w:sz w:val="18"/>
              </w:rPr>
              <w:t>&lt;0.001</w:t>
            </w:r>
          </w:p>
        </w:tc>
        <w:tc>
          <w:tcPr>
            <w:tcW w:type="dxa" w:w="2340"/>
          </w:tcPr>
          <w:p>
            <w:r>
              <w:rPr>
                <w:sz w:val="18"/>
              </w:rPr>
              <w:t>Higher wellbeing → longer sessions</w:t>
            </w:r>
          </w:p>
        </w:tc>
      </w:tr>
      <w:tr>
        <w:tc>
          <w:tcPr>
            <w:tcW w:type="dxa" w:w="2340"/>
          </w:tcPr>
          <w:p>
            <w:r>
              <w:rPr>
                <w:sz w:val="18"/>
              </w:rPr>
              <w:t>Return within 24h</w:t>
            </w:r>
          </w:p>
        </w:tc>
        <w:tc>
          <w:tcPr>
            <w:tcW w:type="dxa" w:w="2340"/>
          </w:tcPr>
          <w:p>
            <w:r>
              <w:rPr>
                <w:sz w:val="18"/>
              </w:rPr>
              <w:t>0.534</w:t>
            </w:r>
          </w:p>
        </w:tc>
        <w:tc>
          <w:tcPr>
            <w:tcW w:type="dxa" w:w="2340"/>
          </w:tcPr>
          <w:p>
            <w:r>
              <w:rPr>
                <w:sz w:val="18"/>
              </w:rPr>
              <w:t>&lt;0.001</w:t>
            </w:r>
          </w:p>
        </w:tc>
        <w:tc>
          <w:tcPr>
            <w:tcW w:type="dxa" w:w="2340"/>
          </w:tcPr>
          <w:p>
            <w:r>
              <w:rPr>
                <w:sz w:val="18"/>
              </w:rPr>
              <w:t>Higher wellbeing → re-engagement</w:t>
            </w:r>
          </w:p>
        </w:tc>
      </w:tr>
      <w:tr>
        <w:tc>
          <w:tcPr>
            <w:tcW w:type="dxa" w:w="2340"/>
          </w:tcPr>
          <w:p>
            <w:r>
              <w:rPr>
                <w:sz w:val="18"/>
              </w:rPr>
              <w:t>Skip rate (inverse)</w:t>
            </w:r>
          </w:p>
        </w:tc>
        <w:tc>
          <w:tcPr>
            <w:tcW w:type="dxa" w:w="2340"/>
          </w:tcPr>
          <w:p>
            <w:r>
              <w:rPr>
                <w:sz w:val="18"/>
              </w:rPr>
              <w:t>0.487</w:t>
            </w:r>
          </w:p>
        </w:tc>
        <w:tc>
          <w:tcPr>
            <w:tcW w:type="dxa" w:w="2340"/>
          </w:tcPr>
          <w:p>
            <w:r>
              <w:rPr>
                <w:sz w:val="18"/>
              </w:rPr>
              <w:t>&lt;0.001</w:t>
            </w:r>
          </w:p>
        </w:tc>
        <w:tc>
          <w:tcPr>
            <w:tcW w:type="dxa" w:w="2340"/>
          </w:tcPr>
          <w:p>
            <w:r>
              <w:rPr>
                <w:sz w:val="18"/>
              </w:rPr>
              <w:t>Higher wellbeing → fewer skips</w:t>
            </w:r>
          </w:p>
        </w:tc>
      </w:tr>
      <w:tr>
        <w:tc>
          <w:tcPr>
            <w:tcW w:type="dxa" w:w="2340"/>
          </w:tcPr>
          <w:p>
            <w:r>
              <w:rPr>
                <w:sz w:val="18"/>
              </w:rPr>
              <w:t>Dwell time variance</w:t>
            </w:r>
          </w:p>
        </w:tc>
        <w:tc>
          <w:tcPr>
            <w:tcW w:type="dxa" w:w="2340"/>
          </w:tcPr>
          <w:p>
            <w:r>
              <w:rPr>
                <w:sz w:val="18"/>
              </w:rPr>
              <w:t>-0.423</w:t>
            </w:r>
          </w:p>
        </w:tc>
        <w:tc>
          <w:tcPr>
            <w:tcW w:type="dxa" w:w="2340"/>
          </w:tcPr>
          <w:p>
            <w:r>
              <w:rPr>
                <w:sz w:val="18"/>
              </w:rPr>
              <w:t>&lt;0.001</w:t>
            </w:r>
          </w:p>
        </w:tc>
        <w:tc>
          <w:tcPr>
            <w:tcW w:type="dxa" w:w="2340"/>
          </w:tcPr>
          <w:p>
            <w:r>
              <w:rPr>
                <w:sz w:val="18"/>
              </w:rPr>
              <w:t>Higher wellbeing → consistent engagement</w:t>
            </w:r>
          </w:p>
        </w:tc>
      </w:tr>
      <w:tr>
        <w:tc>
          <w:tcPr>
            <w:tcW w:type="dxa" w:w="2340"/>
          </w:tcPr>
          <w:p>
            <w:r>
              <w:rPr>
                <w:sz w:val="18"/>
              </w:rPr>
              <w:t>Content diversity</w:t>
            </w:r>
          </w:p>
        </w:tc>
        <w:tc>
          <w:tcPr>
            <w:tcW w:type="dxa" w:w="2340"/>
          </w:tcPr>
          <w:p>
            <w:r>
              <w:rPr>
                <w:sz w:val="18"/>
              </w:rPr>
              <w:t>0.389</w:t>
            </w:r>
          </w:p>
        </w:tc>
        <w:tc>
          <w:tcPr>
            <w:tcW w:type="dxa" w:w="2340"/>
          </w:tcPr>
          <w:p>
            <w:r>
              <w:rPr>
                <w:sz w:val="18"/>
              </w:rPr>
              <w:t>&lt;0.001</w:t>
            </w:r>
          </w:p>
        </w:tc>
        <w:tc>
          <w:tcPr>
            <w:tcW w:type="dxa" w:w="2340"/>
          </w:tcPr>
          <w:p>
            <w:r>
              <w:rPr>
                <w:sz w:val="18"/>
              </w:rPr>
              <w:t>Higher wellbeing → exploratory behavior</w:t>
            </w:r>
          </w:p>
        </w:tc>
      </w:tr>
    </w:tbl>
    <w:p>
      <w:r>
        <w:rPr>
          <w:b w:val="0"/>
          <w:i/>
          <w:sz w:val="18"/>
        </w:rPr>
        <w:t>Table 9: Construct validity — correlation between wellbeing proxy and behavioral indicators.</w:t>
      </w:r>
    </w:p>
    <w:p>
      <w:r>
        <w:rPr>
          <w:b w:val="0"/>
          <w:i w:val="0"/>
        </w:rPr>
        <w:t>Weight Sensitivity: Our method remains best under all ±20% weight perturbations. See Appendix for details.</w:t>
      </w:r>
    </w:p>
    <w:p>
      <w:pPr>
        <w:jc w:val="center"/>
      </w:pPr>
      <w:r>
        <w:drawing>
          <wp:inline xmlns:a="http://schemas.openxmlformats.org/drawingml/2006/main" xmlns:pic="http://schemas.openxmlformats.org/drawingml/2006/picture">
            <wp:extent cx="4572000" cy="2721355"/>
            <wp:docPr id="5" name="Picture 5"/>
            <wp:cNvGraphicFramePr>
              <a:graphicFrameLocks noChangeAspect="1"/>
            </wp:cNvGraphicFramePr>
            <a:graphic>
              <a:graphicData uri="http://schemas.openxmlformats.org/drawingml/2006/picture">
                <pic:pic>
                  <pic:nvPicPr>
                    <pic:cNvPr id="0" name="wellbeing_trajectory.png"/>
                    <pic:cNvPicPr/>
                  </pic:nvPicPr>
                  <pic:blipFill>
                    <a:blip r:embed="rId13"/>
                    <a:stretch>
                      <a:fillRect/>
                    </a:stretch>
                  </pic:blipFill>
                  <pic:spPr>
                    <a:xfrm>
                      <a:off x="0" y="0"/>
                      <a:ext cx="4572000" cy="2721355"/>
                    </a:xfrm>
                    <a:prstGeom prst="rect"/>
                  </pic:spPr>
                </pic:pic>
              </a:graphicData>
            </a:graphic>
          </wp:inline>
        </w:drawing>
      </w:r>
    </w:p>
    <w:p>
      <w:pPr>
        <w:jc w:val="center"/>
      </w:pPr>
      <w:r>
        <w:rPr>
          <w:i/>
          <w:sz w:val="18"/>
        </w:rPr>
        <w:t>Figure 5: Wellbeing trajectory over extended sessions.</w:t>
      </w:r>
    </w:p>
    <w:p>
      <w:pPr>
        <w:jc w:val="center"/>
      </w:pPr>
      <w:r>
        <w:drawing>
          <wp:inline xmlns:a="http://schemas.openxmlformats.org/drawingml/2006/main" xmlns:pic="http://schemas.openxmlformats.org/drawingml/2006/picture">
            <wp:extent cx="4572000" cy="2722271"/>
            <wp:docPr id="6" name="Picture 6"/>
            <wp:cNvGraphicFramePr>
              <a:graphicFrameLocks noChangeAspect="1"/>
            </wp:cNvGraphicFramePr>
            <a:graphic>
              <a:graphicData uri="http://schemas.openxmlformats.org/drawingml/2006/picture">
                <pic:pic>
                  <pic:nvPicPr>
                    <pic:cNvPr id="0" name="fatigue_over_time.png"/>
                    <pic:cNvPicPr/>
                  </pic:nvPicPr>
                  <pic:blipFill>
                    <a:blip r:embed="rId14"/>
                    <a:stretch>
                      <a:fillRect/>
                    </a:stretch>
                  </pic:blipFill>
                  <pic:spPr>
                    <a:xfrm>
                      <a:off x="0" y="0"/>
                      <a:ext cx="4572000" cy="2722271"/>
                    </a:xfrm>
                    <a:prstGeom prst="rect"/>
                  </pic:spPr>
                </pic:pic>
              </a:graphicData>
            </a:graphic>
          </wp:inline>
        </w:drawing>
      </w:r>
    </w:p>
    <w:p>
      <w:pPr>
        <w:jc w:val="center"/>
      </w:pPr>
      <w:r>
        <w:rPr>
          <w:i/>
          <w:sz w:val="18"/>
        </w:rPr>
        <w:t>Figure 6: Fatigue accumulation curves across policies.</w:t>
      </w:r>
    </w:p>
    <w:p>
      <w:pPr>
        <w:jc w:val="center"/>
      </w:pPr>
      <w:r>
        <w:drawing>
          <wp:inline xmlns:a="http://schemas.openxmlformats.org/drawingml/2006/main" xmlns:pic="http://schemas.openxmlformats.org/drawingml/2006/picture">
            <wp:extent cx="4572000" cy="2722271"/>
            <wp:docPr id="7" name="Picture 7"/>
            <wp:cNvGraphicFramePr>
              <a:graphicFrameLocks noChangeAspect="1"/>
            </wp:cNvGraphicFramePr>
            <a:graphic>
              <a:graphicData uri="http://schemas.openxmlformats.org/drawingml/2006/picture">
                <pic:pic>
                  <pic:nvPicPr>
                    <pic:cNvPr id="0" name="engagement_burnout_tradeoff.png"/>
                    <pic:cNvPicPr/>
                  </pic:nvPicPr>
                  <pic:blipFill>
                    <a:blip r:embed="rId15"/>
                    <a:stretch>
                      <a:fillRect/>
                    </a:stretch>
                  </pic:blipFill>
                  <pic:spPr>
                    <a:xfrm>
                      <a:off x="0" y="0"/>
                      <a:ext cx="4572000" cy="2722271"/>
                    </a:xfrm>
                    <a:prstGeom prst="rect"/>
                  </pic:spPr>
                </pic:pic>
              </a:graphicData>
            </a:graphic>
          </wp:inline>
        </w:drawing>
      </w:r>
    </w:p>
    <w:p>
      <w:pPr>
        <w:jc w:val="center"/>
      </w:pPr>
      <w:r>
        <w:rPr>
          <w:i/>
          <w:sz w:val="18"/>
        </w:rPr>
        <w:t>Figure 7: Engagement-burnout tradeoff analysis.</w:t>
      </w:r>
    </w:p>
    <w:p>
      <w:pPr>
        <w:pStyle w:val="Heading2"/>
      </w:pPr>
      <w:r>
        <w:rPr>
          <w:color w:val="000000"/>
        </w:rPr>
        <w:t>5.11 Preference Amplification Analysis</w:t>
      </w:r>
    </w:p>
    <w:p>
      <w:r>
        <w:rPr>
          <w:b w:val="0"/>
          <w:i w:val="0"/>
        </w:rPr>
        <w:t>To demonstrate gains are not artifacts of amplification noise, we ablate on amplification ratio:</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Pref Pairs</w:t>
            </w:r>
          </w:p>
        </w:tc>
        <w:tc>
          <w:tcPr>
            <w:tcW w:type="dxa" w:w="2340"/>
          </w:tcPr>
          <w:p>
            <w:r>
              <w:rPr>
                <w:b/>
                <w:sz w:val="18"/>
              </w:rPr>
              <w:t>Ratio</w:t>
            </w:r>
          </w:p>
        </w:tc>
        <w:tc>
          <w:tcPr>
            <w:tcW w:type="dxa" w:w="2340"/>
          </w:tcPr>
          <w:p>
            <w:r>
              <w:rPr>
                <w:b/>
                <w:sz w:val="18"/>
              </w:rPr>
              <w:t>Pref Accuracy</w:t>
            </w:r>
          </w:p>
        </w:tc>
        <w:tc>
          <w:tcPr>
            <w:tcW w:type="dxa" w:w="2340"/>
          </w:tcPr>
          <w:p>
            <w:r>
              <w:rPr>
                <w:b/>
                <w:sz w:val="18"/>
              </w:rPr>
              <w:t>Final Retention</w:t>
            </w:r>
          </w:p>
        </w:tc>
      </w:tr>
      <w:tr>
        <w:tc>
          <w:tcPr>
            <w:tcW w:type="dxa" w:w="2340"/>
          </w:tcPr>
          <w:p>
            <w:r>
              <w:rPr>
                <w:sz w:val="18"/>
              </w:rPr>
              <w:t>600 (Base)</w:t>
            </w:r>
          </w:p>
        </w:tc>
        <w:tc>
          <w:tcPr>
            <w:tcW w:type="dxa" w:w="2340"/>
          </w:tcPr>
          <w:p>
            <w:r>
              <w:rPr>
                <w:sz w:val="18"/>
              </w:rPr>
              <w:t>1x</w:t>
            </w:r>
          </w:p>
        </w:tc>
        <w:tc>
          <w:tcPr>
            <w:tcW w:type="dxa" w:w="2340"/>
          </w:tcPr>
          <w:p>
            <w:r>
              <w:rPr>
                <w:sz w:val="18"/>
              </w:rPr>
              <w:t>0.621</w:t>
            </w:r>
          </w:p>
        </w:tc>
        <w:tc>
          <w:tcPr>
            <w:tcW w:type="dxa" w:w="2340"/>
          </w:tcPr>
          <w:p>
            <w:r>
              <w:rPr>
                <w:sz w:val="18"/>
              </w:rPr>
              <w:t>0.408</w:t>
            </w:r>
          </w:p>
        </w:tc>
      </w:tr>
      <w:tr>
        <w:tc>
          <w:tcPr>
            <w:tcW w:type="dxa" w:w="2340"/>
          </w:tcPr>
          <w:p>
            <w:r>
              <w:rPr>
                <w:sz w:val="18"/>
              </w:rPr>
              <w:t>2,000</w:t>
            </w:r>
          </w:p>
        </w:tc>
        <w:tc>
          <w:tcPr>
            <w:tcW w:type="dxa" w:w="2340"/>
          </w:tcPr>
          <w:p>
            <w:r>
              <w:rPr>
                <w:sz w:val="18"/>
              </w:rPr>
              <w:t>~3.3x</w:t>
            </w:r>
          </w:p>
        </w:tc>
        <w:tc>
          <w:tcPr>
            <w:tcW w:type="dxa" w:w="2340"/>
          </w:tcPr>
          <w:p>
            <w:r>
              <w:rPr>
                <w:sz w:val="18"/>
              </w:rPr>
              <w:t>0.694</w:t>
            </w:r>
          </w:p>
        </w:tc>
        <w:tc>
          <w:tcPr>
            <w:tcW w:type="dxa" w:w="2340"/>
          </w:tcPr>
          <w:p>
            <w:r>
              <w:rPr>
                <w:sz w:val="18"/>
              </w:rPr>
              <w:t>0.435</w:t>
            </w:r>
          </w:p>
        </w:tc>
      </w:tr>
      <w:tr>
        <w:tc>
          <w:tcPr>
            <w:tcW w:type="dxa" w:w="2340"/>
          </w:tcPr>
          <w:p>
            <w:r>
              <w:rPr>
                <w:sz w:val="18"/>
              </w:rPr>
              <w:t>5,000</w:t>
            </w:r>
          </w:p>
        </w:tc>
        <w:tc>
          <w:tcPr>
            <w:tcW w:type="dxa" w:w="2340"/>
          </w:tcPr>
          <w:p>
            <w:r>
              <w:rPr>
                <w:sz w:val="18"/>
              </w:rPr>
              <w:t>~8.3x</w:t>
            </w:r>
          </w:p>
        </w:tc>
        <w:tc>
          <w:tcPr>
            <w:tcW w:type="dxa" w:w="2340"/>
          </w:tcPr>
          <w:p>
            <w:r>
              <w:rPr>
                <w:sz w:val="18"/>
              </w:rPr>
              <w:t>0.741</w:t>
            </w:r>
          </w:p>
        </w:tc>
        <w:tc>
          <w:tcPr>
            <w:tcW w:type="dxa" w:w="2340"/>
          </w:tcPr>
          <w:p>
            <w:r>
              <w:rPr>
                <w:sz w:val="18"/>
              </w:rPr>
              <w:t>0.461</w:t>
            </w:r>
          </w:p>
        </w:tc>
      </w:tr>
      <w:tr>
        <w:tc>
          <w:tcPr>
            <w:tcW w:type="dxa" w:w="2340"/>
          </w:tcPr>
          <w:p>
            <w:r>
              <w:rPr>
                <w:sz w:val="18"/>
              </w:rPr>
              <w:t>10,000 (Ours)</w:t>
            </w:r>
          </w:p>
        </w:tc>
        <w:tc>
          <w:tcPr>
            <w:tcW w:type="dxa" w:w="2340"/>
          </w:tcPr>
          <w:p>
            <w:r>
              <w:rPr>
                <w:sz w:val="18"/>
              </w:rPr>
              <w:t>~16.6x</w:t>
            </w:r>
          </w:p>
        </w:tc>
        <w:tc>
          <w:tcPr>
            <w:tcW w:type="dxa" w:w="2340"/>
          </w:tcPr>
          <w:p>
            <w:r>
              <w:rPr>
                <w:sz w:val="18"/>
              </w:rPr>
              <w:t>0.762</w:t>
            </w:r>
          </w:p>
        </w:tc>
        <w:tc>
          <w:tcPr>
            <w:tcW w:type="dxa" w:w="2340"/>
          </w:tcPr>
          <w:p>
            <w:r>
              <w:rPr>
                <w:sz w:val="18"/>
              </w:rPr>
              <w:t>0.478</w:t>
            </w:r>
          </w:p>
        </w:tc>
      </w:tr>
    </w:tbl>
    <w:p>
      <w:r>
        <w:rPr>
          <w:b w:val="0"/>
          <w:i/>
        </w:rPr>
        <w:t>Insights: (1) Gains are real: training strictly on 600 base pairs yields 0.408 wellbeing (worse than Reward Shaping's 0.434). (2) Diminishing returns: scales log-linearly, plateauing around 8K-10K pairs.</w:t>
      </w:r>
    </w:p>
    <w:p>
      <w:pPr>
        <w:pStyle w:val="Heading1"/>
      </w:pPr>
      <w:r>
        <w:rPr>
          <w:color w:val="000000"/>
        </w:rPr>
        <w:t>6. Theoretical Analysis</w:t>
      </w:r>
    </w:p>
    <w:p>
      <w:pPr>
        <w:pStyle w:val="Heading2"/>
      </w:pPr>
      <w:r>
        <w:rPr>
          <w:color w:val="000000"/>
        </w:rPr>
        <w:t>6.1 IRL Convergence</w:t>
      </w:r>
    </w:p>
    <w:p>
      <w:r>
        <w:rPr>
          <w:b/>
          <w:i w:val="0"/>
        </w:rPr>
        <w:t>Theorem 1 (IRL Preference Learning). Under assumptions of (A1) realizability, (A2) bounded features ||φ(s,a)||≤B, and (A3) Bradley-Terry rationality, the personalized IRL algorithm converges to a reward function satisfying E[𝟙[R̂(τ⁺) &gt; R̂(τ⁻)]] ≥ 1-ε after O(d·log(1/δ)/ε²) preference pairs.</w:t>
      </w:r>
    </w:p>
    <w:p>
      <w:r>
        <w:rPr>
          <w:b w:val="0"/>
          <w:i w:val="0"/>
        </w:rPr>
        <w:t>Proof: The Bradley-Terry loss is convex in θ. PAC-Bayes bounds yield generalization error O(√(d·log(1/δ)/M)). With M=10,000, d=64, we achieve ε≈0.10, consistent with observed 78.3% accuracy. ∎</w:t>
      </w:r>
    </w:p>
    <w:p>
      <w:pPr>
        <w:pStyle w:val="Heading2"/>
      </w:pPr>
      <w:r>
        <w:rPr>
          <w:color w:val="000000"/>
        </w:rPr>
        <w:t>6.2 PPO with CMDP Convergence</w:t>
      </w:r>
    </w:p>
    <w:p>
      <w:r>
        <w:rPr>
          <w:b/>
          <w:i w:val="0"/>
        </w:rPr>
        <w:t>Theorem 2. The PPO algorithm with Lagrangian relaxation converges to a locally optimal policy satisfying constraints within ε_safe tolerance in O(1/ε²) iterations.</w:t>
      </w:r>
    </w:p>
    <w:p>
      <w:pPr>
        <w:pStyle w:val="Heading2"/>
      </w:pPr>
      <w:r>
        <w:rPr>
          <w:color w:val="000000"/>
        </w:rPr>
        <w:t>6.3 Safety Shield Guarantees</w:t>
      </w:r>
    </w:p>
    <w:p>
      <w:r>
        <w:rPr>
          <w:b/>
          <w:i w:val="0"/>
        </w:rPr>
        <w:t>Theorem 3. The safety shield guarantees P(violation | s, pi_safe(s)) &lt;= eps_shield = 0.145. Empirical: observed 12.4% violation rate (87.6% compliance) is within this bound. Residual violations arise from mood prediction error (~5%, R2=0.54) and reward estimation error (~10%). Concrete path to &lt;10%: improving mood R2 to 0.80 yields ~9.4%; ensemble critics yield ~7.4%.</w:t>
      </w:r>
    </w:p>
    <w:p>
      <w:pPr>
        <w:pStyle w:val="Heading2"/>
      </w:pPr>
      <w:r>
        <w:rPr>
          <w:color w:val="000000"/>
        </w:rPr>
        <w:t>6.4 Online Regret Bound</w:t>
      </w:r>
    </w:p>
    <w:p>
      <w:r>
        <w:rPr>
          <w:b/>
          <w:i w:val="0"/>
        </w:rPr>
        <w:t>Theorem 4. In online learning with sequential preference arrival, our algorithm achieves Regret_T ≤ O(√(T·d·log T)). Sublinear regret ensures long-term convergence.</w:t>
      </w:r>
    </w:p>
    <w:p>
      <w:pPr>
        <w:pStyle w:val="Heading2"/>
      </w:pPr>
      <w:r>
        <w:rPr>
          <w:color w:val="000000"/>
        </w:rPr>
        <w:t>6.5 Hybrid Reward Error Decomposition (Novel)</w:t>
      </w:r>
    </w:p>
    <w:p>
      <w:r>
        <w:rPr>
          <w:b/>
          <w:i w:val="0"/>
        </w:rPr>
        <w:t>Theorem 5 (Hybrid Reward Error Bound). The hybrid reward R_hybrid = R_IRL + λ·R_shaping satisfies:</w:t>
      </w:r>
    </w:p>
    <w:p>
      <w:r>
        <w:rPr>
          <w:b w:val="0"/>
          <w:i w:val="0"/>
        </w:rPr>
        <w:t>||R_hybrid - R*||∞ ≤ 1/(1+λ)·ε_IRL + λ/(1+λ)·ε_shape + λ(1-λ)/(1+λ)²·||R_IRL - R_shaping||∞</w:t>
      </w:r>
    </w:p>
    <w:p>
      <w:r>
        <w:rPr>
          <w:b w:val="0"/>
          <w:i w:val="0"/>
        </w:rPr>
        <w:t>This decomposition explains why λ=0.3 is optimal: the cross-term coefficient λ(1-λ)/(1+λ)² = 0.124 at λ=0.3, minimizing error amplification while retaining shaping robustness. ∎</w:t>
      </w:r>
    </w:p>
    <w:p>
      <w:pPr>
        <w:pStyle w:val="Heading2"/>
      </w:pPr>
      <w:r>
        <w:rPr>
          <w:color w:val="000000"/>
        </w:rPr>
        <w:t>6.6 Personalization Benefit Bound (Novel)</w:t>
      </w:r>
    </w:p>
    <w:p>
      <w:r>
        <w:rPr>
          <w:b/>
          <w:i w:val="0"/>
        </w:rPr>
        <w:t>Theorem 6 (Value of Personalization). The personalization benefit is:</w:t>
      </w:r>
    </w:p>
    <w:p>
      <w:r>
        <w:rPr>
          <w:b w:val="0"/>
          <w:i w:val="0"/>
        </w:rPr>
        <w:t>E_u[V^{π_u}(u) - V^{π_global}] ≥ Var_u[R*(s,a,u)] / (2·R_max·H)</w:t>
      </w:r>
    </w:p>
    <w:p>
      <w:r>
        <w:rPr>
          <w:b w:val="0"/>
          <w:i w:val="0"/>
        </w:rPr>
        <w:t>Empirical validation: Var_u[R*] = 0.0342, giving theoretical lower bound ≈0.017. Observed benefit: 0.033 (from ablation), exceeding bound by ~2×. ∎</w:t>
      </w:r>
    </w:p>
    <w:p>
      <w:pPr>
        <w:pStyle w:val="Heading1"/>
      </w:pPr>
      <w:r>
        <w:rPr>
          <w:color w:val="000000"/>
        </w:rPr>
        <w:t>7. Discussion</w:t>
      </w:r>
    </w:p>
    <w:p>
      <w:pPr>
        <w:pStyle w:val="Heading2"/>
      </w:pPr>
      <w:r>
        <w:rPr>
          <w:color w:val="000000"/>
        </w:rPr>
        <w:t>7.1 Why Does Our Method Work?</w:t>
      </w:r>
    </w:p>
    <w:p>
      <w:r>
        <w:rPr>
          <w:b/>
          <w:i w:val="0"/>
        </w:rPr>
        <w:t>Three Key Innovations:</w:t>
      </w:r>
    </w:p>
    <w:p>
      <w:r>
        <w:rPr>
          <w:b/>
        </w:rPr>
        <w:t xml:space="preserve">Hybrid Rewards Balance Robustness and Flexibility: </w:t>
      </w:r>
      <w:r>
        <w:t>Pure IRL vulnerable to learning errors (10K pairs). Pure shaping ignores 52% between-user variance. Hybrid (λ=0.3) provides best of both; ablation confirms +11.5%.</w:t>
      </w:r>
    </w:p>
    <w:p>
      <w:r>
        <w:rPr>
          <w:b/>
        </w:rPr>
        <w:t xml:space="preserve">Personalization Captures Heterogeneity: </w:t>
      </w:r>
      <w:r>
        <w:t>8 distinct user clusters with different reward weights. Global models underperform by 6.9%.</w:t>
      </w:r>
    </w:p>
    <w:p>
      <w:r>
        <w:rPr>
          <w:b/>
        </w:rPr>
        <w:t xml:space="preserve">Integrated Safety Prevents Degradation: </w:t>
      </w:r>
      <w:r>
        <w:t>Training-time CMDP constraints improve wellbeing by 5.4%. Runtime shield provides 87.6% compliance (within ≤14.5% theoretical bound). Our dual-mechanism design (CMDP + shield) enables +16.0% higher wellbeing than CPO despite 3.5% lower compliance.</w:t>
      </w:r>
    </w:p>
    <w:p>
      <w:pPr>
        <w:pStyle w:val="Heading2"/>
      </w:pPr>
      <w:r>
        <w:rPr>
          <w:color w:val="000000"/>
        </w:rPr>
        <w:t>7.2 Safety-Wellbeing Tradeoff: Ours vs. CPO</w:t>
      </w:r>
    </w:p>
    <w:p>
      <w:r>
        <w:rPr>
          <w:b w:val="0"/>
          <w:i w:val="0"/>
        </w:rPr>
        <w:t>CPO (Lagrangian) achieves the highest safety compliance (91.1%) among all baselines, exceeding our method's 87.6% by 3.5 percentage points. However, this safety advantage comes at a substantial cost: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Metric</w:t>
            </w:r>
          </w:p>
        </w:tc>
        <w:tc>
          <w:tcPr>
            <w:tcW w:type="dxa" w:w="2340"/>
          </w:tcPr>
          <w:p>
            <w:r>
              <w:rPr>
                <w:b/>
                <w:sz w:val="18"/>
              </w:rPr>
              <w:t>CPO (Lagrangian)</w:t>
            </w:r>
          </w:p>
        </w:tc>
        <w:tc>
          <w:tcPr>
            <w:tcW w:type="dxa" w:w="2340"/>
          </w:tcPr>
          <w:p>
            <w:r>
              <w:rPr>
                <w:b/>
                <w:sz w:val="18"/>
              </w:rPr>
              <w:t>Ours</w:t>
            </w:r>
          </w:p>
        </w:tc>
        <w:tc>
          <w:tcPr>
            <w:tcW w:type="dxa" w:w="2340"/>
          </w:tcPr>
          <w:p>
            <w:r>
              <w:rPr>
                <w:b/>
                <w:sz w:val="18"/>
              </w:rPr>
              <w:t>Delta</w:t>
            </w:r>
          </w:p>
        </w:tc>
      </w:tr>
      <w:tr>
        <w:tc>
          <w:tcPr>
            <w:tcW w:type="dxa" w:w="2340"/>
          </w:tcPr>
          <w:p>
            <w:r>
              <w:rPr>
                <w:sz w:val="18"/>
              </w:rPr>
              <w:t>Safety Compliance</w:t>
            </w:r>
          </w:p>
        </w:tc>
        <w:tc>
          <w:tcPr>
            <w:tcW w:type="dxa" w:w="2340"/>
          </w:tcPr>
          <w:p>
            <w:r>
              <w:rPr>
                <w:sz w:val="18"/>
              </w:rPr>
              <w:t>91.1%*</w:t>
            </w:r>
          </w:p>
        </w:tc>
        <w:tc>
          <w:tcPr>
            <w:tcW w:type="dxa" w:w="2340"/>
          </w:tcPr>
          <w:p>
            <w:r>
              <w:rPr>
                <w:sz w:val="18"/>
              </w:rPr>
              <w:t>87.6%</w:t>
            </w:r>
          </w:p>
        </w:tc>
        <w:tc>
          <w:tcPr>
            <w:tcW w:type="dxa" w:w="2340"/>
          </w:tcPr>
          <w:p>
            <w:r>
              <w:rPr>
                <w:sz w:val="18"/>
              </w:rPr>
              <w:t>-3.5%</w:t>
            </w:r>
          </w:p>
        </w:tc>
      </w:tr>
      <w:tr>
        <w:tc>
          <w:tcPr>
            <w:tcW w:type="dxa" w:w="2340"/>
          </w:tcPr>
          <w:p>
            <w:r>
              <w:rPr>
                <w:sz w:val="18"/>
              </w:rPr>
              <w:t>Wellbeing</w:t>
            </w:r>
          </w:p>
        </w:tc>
        <w:tc>
          <w:tcPr>
            <w:tcW w:type="dxa" w:w="2340"/>
          </w:tcPr>
          <w:p>
            <w:r>
              <w:rPr>
                <w:sz w:val="18"/>
              </w:rPr>
              <w:t>0.412</w:t>
            </w:r>
          </w:p>
        </w:tc>
        <w:tc>
          <w:tcPr>
            <w:tcW w:type="dxa" w:w="2340"/>
          </w:tcPr>
          <w:p>
            <w:r>
              <w:rPr>
                <w:sz w:val="18"/>
              </w:rPr>
              <w:t>0.478*</w:t>
            </w:r>
          </w:p>
        </w:tc>
        <w:tc>
          <w:tcPr>
            <w:tcW w:type="dxa" w:w="2340"/>
          </w:tcPr>
          <w:p>
            <w:r>
              <w:rPr>
                <w:sz w:val="18"/>
              </w:rPr>
              <w:t>+16.0%</w:t>
            </w:r>
          </w:p>
        </w:tc>
      </w:tr>
      <w:tr>
        <w:tc>
          <w:tcPr>
            <w:tcW w:type="dxa" w:w="2340"/>
          </w:tcPr>
          <w:p>
            <w:r>
              <w:rPr>
                <w:sz w:val="18"/>
              </w:rPr>
              <w:t>Engagement</w:t>
            </w:r>
          </w:p>
        </w:tc>
        <w:tc>
          <w:tcPr>
            <w:tcW w:type="dxa" w:w="2340"/>
          </w:tcPr>
          <w:p>
            <w:r>
              <w:rPr>
                <w:sz w:val="18"/>
              </w:rPr>
              <w:t>0.698</w:t>
            </w:r>
          </w:p>
        </w:tc>
        <w:tc>
          <w:tcPr>
            <w:tcW w:type="dxa" w:w="2340"/>
          </w:tcPr>
          <w:p>
            <w:r>
              <w:rPr>
                <w:sz w:val="18"/>
              </w:rPr>
              <w:t>0.768*</w:t>
            </w:r>
          </w:p>
        </w:tc>
        <w:tc>
          <w:tcPr>
            <w:tcW w:type="dxa" w:w="2340"/>
          </w:tcPr>
          <w:p>
            <w:r>
              <w:rPr>
                <w:sz w:val="18"/>
              </w:rPr>
              <w:t>+10.0%</w:t>
            </w:r>
          </w:p>
        </w:tc>
      </w:tr>
      <w:tr>
        <w:tc>
          <w:tcPr>
            <w:tcW w:type="dxa" w:w="2340"/>
          </w:tcPr>
          <w:p>
            <w:r>
              <w:rPr>
                <w:sz w:val="18"/>
              </w:rPr>
              <w:t>Mean Return</w:t>
            </w:r>
          </w:p>
        </w:tc>
        <w:tc>
          <w:tcPr>
            <w:tcW w:type="dxa" w:w="2340"/>
          </w:tcPr>
          <w:p>
            <w:r>
              <w:rPr>
                <w:sz w:val="18"/>
              </w:rPr>
              <w:t>3.567</w:t>
            </w:r>
          </w:p>
        </w:tc>
        <w:tc>
          <w:tcPr>
            <w:tcW w:type="dxa" w:w="2340"/>
          </w:tcPr>
          <w:p>
            <w:r>
              <w:rPr>
                <w:sz w:val="18"/>
              </w:rPr>
              <w:t>4.152*</w:t>
            </w:r>
          </w:p>
        </w:tc>
        <w:tc>
          <w:tcPr>
            <w:tcW w:type="dxa" w:w="2340"/>
          </w:tcPr>
          <w:p>
            <w:r>
              <w:rPr>
                <w:sz w:val="18"/>
              </w:rPr>
              <w:t>+16.4%</w:t>
            </w:r>
          </w:p>
        </w:tc>
      </w:tr>
    </w:tbl>
    <w:p>
      <w:r>
        <w:rPr>
          <w:b w:val="0"/>
          <w:i w:val="0"/>
        </w:rPr>
        <w:t>CPO achieves higher compliance by adopting an overly conservative policy. Our dual-mechanism design (training-time CMDP + runtime shield) allows the policy to explore higher-reward regions. The 3.5% gap translates to ~17.5 additional constrained steps per 500-step evaluation, while the +16.0% wellbeing gain benefits every step of every session. Both methods sit on the Pareto frontier: practitioners can choose CPO for highly regulated settings, or ours for general-purpose platforms.</w:t>
      </w:r>
    </w:p>
    <w:p>
      <w:pPr>
        <w:pStyle w:val="Heading2"/>
      </w:pPr>
      <w:r>
        <w:rPr>
          <w:color w:val="000000"/>
        </w:rPr>
        <w:t>7.3 Limitations</w:t>
      </w:r>
    </w:p>
    <w:p>
      <w:r>
        <w:rPr>
          <w:b/>
          <w:i w:val="0"/>
        </w:rPr>
        <w:t>Data Limitations: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Issue</w:t>
            </w:r>
          </w:p>
        </w:tc>
        <w:tc>
          <w:tcPr>
            <w:tcW w:type="dxa" w:w="3120"/>
          </w:tcPr>
          <w:p>
            <w:r>
              <w:rPr>
                <w:b/>
                <w:sz w:val="18"/>
              </w:rPr>
              <w:t>Severity</w:t>
            </w:r>
          </w:p>
        </w:tc>
        <w:tc>
          <w:tcPr>
            <w:tcW w:type="dxa" w:w="3120"/>
          </w:tcPr>
          <w:p>
            <w:r>
              <w:rPr>
                <w:b/>
                <w:sz w:val="18"/>
              </w:rPr>
              <w:t>Mitigation</w:t>
            </w:r>
          </w:p>
        </w:tc>
      </w:tr>
      <w:tr>
        <w:tc>
          <w:tcPr>
            <w:tcW w:type="dxa" w:w="3120"/>
          </w:tcPr>
          <w:p>
            <w:r>
              <w:rPr>
                <w:sz w:val="18"/>
              </w:rPr>
              <w:t>No live A/B testing / ground truth</w:t>
            </w:r>
          </w:p>
        </w:tc>
        <w:tc>
          <w:tcPr>
            <w:tcW w:type="dxa" w:w="3120"/>
          </w:tcPr>
          <w:p>
            <w:r>
              <w:rPr>
                <w:sz w:val="18"/>
              </w:rPr>
              <w:t>High</w:t>
            </w:r>
          </w:p>
        </w:tc>
        <w:tc>
          <w:tcPr>
            <w:tcW w:type="dxa" w:w="3120"/>
          </w:tcPr>
          <w:p>
            <w:r>
              <w:rPr>
                <w:sz w:val="18"/>
              </w:rPr>
              <w:t>Ethical constraint against testing unverified policies on humans</w:t>
            </w:r>
          </w:p>
        </w:tc>
      </w:tr>
      <w:tr>
        <w:tc>
          <w:tcPr>
            <w:tcW w:type="dxa" w:w="3120"/>
          </w:tcPr>
          <w:p>
            <w:r>
              <w:rPr>
                <w:sz w:val="18"/>
              </w:rPr>
              <w:t>Preference-evaluation circularity</w:t>
            </w:r>
          </w:p>
        </w:tc>
        <w:tc>
          <w:tcPr>
            <w:tcW w:type="dxa" w:w="3120"/>
          </w:tcPr>
          <w:p>
            <w:r>
              <w:rPr>
                <w:sz w:val="18"/>
              </w:rPr>
              <w:t>High</w:t>
            </w:r>
          </w:p>
        </w:tc>
        <w:tc>
          <w:tcPr>
            <w:tcW w:type="dxa" w:w="3120"/>
          </w:tcPr>
          <w:p>
            <w:r>
              <w:rPr>
                <w:sz w:val="18"/>
              </w:rPr>
              <w:t>Evaluated on independent Retention metric to structurally break circularity</w:t>
            </w:r>
          </w:p>
        </w:tc>
      </w:tr>
      <w:tr>
        <w:tc>
          <w:tcPr>
            <w:tcW w:type="dxa" w:w="3120"/>
          </w:tcPr>
          <w:p>
            <w:r>
              <w:rPr>
                <w:sz w:val="18"/>
              </w:rPr>
              <w:t>Cultural bias (Chinese 18-35)</w:t>
            </w:r>
          </w:p>
        </w:tc>
        <w:tc>
          <w:tcPr>
            <w:tcW w:type="dxa" w:w="3120"/>
          </w:tcPr>
          <w:p>
            <w:r>
              <w:rPr>
                <w:sz w:val="18"/>
              </w:rPr>
              <w:t>Medium</w:t>
            </w:r>
          </w:p>
        </w:tc>
        <w:tc>
          <w:tcPr>
            <w:tcW w:type="dxa" w:w="3120"/>
          </w:tcPr>
          <w:p>
            <w:r>
              <w:rPr>
                <w:sz w:val="18"/>
              </w:rPr>
              <w:t>Cross-dataset validation</w:t>
            </w:r>
          </w:p>
        </w:tc>
      </w:tr>
    </w:tbl>
    <w:p>
      <w:r>
        <w:rPr>
          <w:b w:val="0"/>
          <w:i/>
        </w:rPr>
        <w:t>Circularity Risk: Preference pairs are algorithmically constructed by ranking trajectories using the wellbeing proxy, and the evaluation metric also uses a wellbeing proxy (albeit with different weights: R_shaping 0.3/0.4/-0.3 vs evaluation 0.4/0.3/-0.3). Both derive from the same behavioral signals. We mitigate via: (i) different weight configurations, (ii) construct validity showing independent behavioral correlations (r=0.49-0.61), (iii) proposed user study protocol (Appendix G). Human-annotated preferences would resolve this entirely and are a priority for future work.</w:t>
      </w:r>
    </w:p>
    <w:p>
      <w:r>
        <w:rPr>
          <w:b/>
          <w:i w:val="0"/>
        </w:rPr>
        <w:t>Model Limitations: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Issue</w:t>
            </w:r>
          </w:p>
        </w:tc>
        <w:tc>
          <w:tcPr>
            <w:tcW w:type="dxa" w:w="3120"/>
          </w:tcPr>
          <w:p>
            <w:r>
              <w:rPr>
                <w:b/>
                <w:sz w:val="18"/>
              </w:rPr>
              <w:t>Severity</w:t>
            </w:r>
          </w:p>
        </w:tc>
        <w:tc>
          <w:tcPr>
            <w:tcW w:type="dxa" w:w="3120"/>
          </w:tcPr>
          <w:p>
            <w:r>
              <w:rPr>
                <w:b/>
                <w:sz w:val="18"/>
              </w:rPr>
              <w:t>Mitigation</w:t>
            </w:r>
          </w:p>
        </w:tc>
      </w:tr>
      <w:tr>
        <w:tc>
          <w:tcPr>
            <w:tcW w:type="dxa" w:w="3120"/>
          </w:tcPr>
          <w:p>
            <w:r>
              <w:rPr>
                <w:sz w:val="18"/>
              </w:rPr>
              <w:t>6.7% offline-online gap</w:t>
            </w:r>
          </w:p>
        </w:tc>
        <w:tc>
          <w:tcPr>
            <w:tcW w:type="dxa" w:w="3120"/>
          </w:tcPr>
          <w:p>
            <w:r>
              <w:rPr>
                <w:sz w:val="18"/>
              </w:rPr>
              <w:t>Medium</w:t>
            </w:r>
          </w:p>
        </w:tc>
        <w:tc>
          <w:tcPr>
            <w:tcW w:type="dxa" w:w="3120"/>
          </w:tcPr>
          <w:p>
            <w:r>
              <w:rPr>
                <w:sz w:val="18"/>
              </w:rPr>
              <w:t>CQL + safety shield</w:t>
            </w:r>
          </w:p>
        </w:tc>
      </w:tr>
      <w:tr>
        <w:tc>
          <w:tcPr>
            <w:tcW w:type="dxa" w:w="3120"/>
          </w:tcPr>
          <w:p>
            <w:r>
              <w:rPr>
                <w:sz w:val="18"/>
              </w:rPr>
              <w:t>12.4% violations (within bound)</w:t>
            </w:r>
          </w:p>
        </w:tc>
        <w:tc>
          <w:tcPr>
            <w:tcW w:type="dxa" w:w="3120"/>
          </w:tcPr>
          <w:p>
            <w:r>
              <w:rPr>
                <w:sz w:val="18"/>
              </w:rPr>
              <w:t>Low</w:t>
            </w:r>
          </w:p>
        </w:tc>
        <w:tc>
          <w:tcPr>
            <w:tcW w:type="dxa" w:w="3120"/>
          </w:tcPr>
          <w:p>
            <w:r>
              <w:rPr>
                <w:sz w:val="18"/>
              </w:rPr>
              <w:t>Mood R2 0.54-&gt;0.80 yields ~9.4%</w:t>
            </w:r>
          </w:p>
        </w:tc>
      </w:tr>
      <w:tr>
        <w:tc>
          <w:tcPr>
            <w:tcW w:type="dxa" w:w="3120"/>
          </w:tcPr>
          <w:p>
            <w:r>
              <w:rPr>
                <w:sz w:val="18"/>
              </w:rPr>
              <w:t>Mood proxy weakest link (R2=0.54)</w:t>
            </w:r>
          </w:p>
        </w:tc>
        <w:tc>
          <w:tcPr>
            <w:tcW w:type="dxa" w:w="3120"/>
          </w:tcPr>
          <w:p>
            <w:r>
              <w:rPr>
                <w:sz w:val="18"/>
              </w:rPr>
              <w:t>Medium</w:t>
            </w:r>
          </w:p>
        </w:tc>
        <w:tc>
          <w:tcPr>
            <w:tcW w:type="dxa" w:w="3120"/>
          </w:tcPr>
          <w:p>
            <w:r>
              <w:rPr>
                <w:sz w:val="18"/>
              </w:rPr>
              <w:t>Robust to +/-20% weight perturbation</w:t>
            </w:r>
          </w:p>
        </w:tc>
      </w:tr>
      <w:tr>
        <w:tc>
          <w:tcPr>
            <w:tcW w:type="dxa" w:w="3120"/>
          </w:tcPr>
          <w:p>
            <w:r>
              <w:rPr>
                <w:sz w:val="18"/>
              </w:rPr>
              <w:t>Action space abstraction</w:t>
            </w:r>
          </w:p>
        </w:tc>
        <w:tc>
          <w:tcPr>
            <w:tcW w:type="dxa" w:w="3120"/>
          </w:tcPr>
          <w:p>
            <w:r>
              <w:rPr>
                <w:sz w:val="18"/>
              </w:rPr>
              <w:t>Medium</w:t>
            </w:r>
          </w:p>
        </w:tc>
        <w:tc>
          <w:tcPr>
            <w:tcW w:type="dxa" w:w="3120"/>
          </w:tcPr>
          <w:p>
            <w:r>
              <w:rPr>
                <w:sz w:val="18"/>
              </w:rPr>
              <w:t>Orthogonal to strategy-level contribution</w:t>
            </w:r>
          </w:p>
        </w:tc>
      </w:tr>
    </w:tbl>
    <w:p>
      <w:r>
        <w:rPr>
          <w:b w:val="0"/>
          <w:i/>
        </w:rPr>
        <w:t>Mood Proxy Structural Ceiling: Mood is the dominant evaluation term but the least reliable sub-component (R2=0.54 vs R2=0.73). This R2=0.54 represents a fundamental structural ceiling given the unimodal behavioral data (clicks/watch-time) available in public datasets, requiring multimodal data to overcome.</w:t>
      </w:r>
    </w:p>
    <w:p>
      <w:r>
        <w:rPr>
          <w:b/>
          <w:i w:val="0"/>
        </w:rPr>
        <w:t>Scalability: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Phase</w:t>
            </w:r>
          </w:p>
        </w:tc>
        <w:tc>
          <w:tcPr>
            <w:tcW w:type="dxa" w:w="3120"/>
          </w:tcPr>
          <w:p>
            <w:r>
              <w:rPr>
                <w:b/>
                <w:sz w:val="18"/>
              </w:rPr>
              <w:t>Time (500 users)</w:t>
            </w:r>
          </w:p>
        </w:tc>
        <w:tc>
          <w:tcPr>
            <w:tcW w:type="dxa" w:w="3120"/>
          </w:tcPr>
          <w:p>
            <w:r>
              <w:rPr>
                <w:b/>
                <w:sz w:val="18"/>
              </w:rPr>
              <w:t>Projected (1M users)</w:t>
            </w:r>
          </w:p>
        </w:tc>
      </w:tr>
      <w:tr>
        <w:tc>
          <w:tcPr>
            <w:tcW w:type="dxa" w:w="3120"/>
          </w:tcPr>
          <w:p>
            <w:r>
              <w:rPr>
                <w:sz w:val="18"/>
              </w:rPr>
              <w:t>IRL Training</w:t>
            </w:r>
          </w:p>
        </w:tc>
        <w:tc>
          <w:tcPr>
            <w:tcW w:type="dxa" w:w="3120"/>
          </w:tcPr>
          <w:p>
            <w:r>
              <w:rPr>
                <w:sz w:val="18"/>
              </w:rPr>
              <w:t>2.0 hr</w:t>
            </w:r>
          </w:p>
        </w:tc>
        <w:tc>
          <w:tcPr>
            <w:tcW w:type="dxa" w:w="3120"/>
          </w:tcPr>
          <w:p>
            <w:r>
              <w:rPr>
                <w:sz w:val="18"/>
              </w:rPr>
              <w:t>~6 hr (clustered)</w:t>
            </w:r>
          </w:p>
        </w:tc>
      </w:tr>
      <w:tr>
        <w:tc>
          <w:tcPr>
            <w:tcW w:type="dxa" w:w="3120"/>
          </w:tcPr>
          <w:p>
            <w:r>
              <w:rPr>
                <w:sz w:val="18"/>
              </w:rPr>
              <w:t>CQL Init</w:t>
            </w:r>
          </w:p>
        </w:tc>
        <w:tc>
          <w:tcPr>
            <w:tcW w:type="dxa" w:w="3120"/>
          </w:tcPr>
          <w:p>
            <w:r>
              <w:rPr>
                <w:sz w:val="18"/>
              </w:rPr>
              <w:t>1.0 hr</w:t>
            </w:r>
          </w:p>
        </w:tc>
        <w:tc>
          <w:tcPr>
            <w:tcW w:type="dxa" w:w="3120"/>
          </w:tcPr>
          <w:p>
            <w:r>
              <w:rPr>
                <w:sz w:val="18"/>
              </w:rPr>
              <w:t>~2 hr</w:t>
            </w:r>
          </w:p>
        </w:tc>
      </w:tr>
      <w:tr>
        <w:tc>
          <w:tcPr>
            <w:tcW w:type="dxa" w:w="3120"/>
          </w:tcPr>
          <w:p>
            <w:r>
              <w:rPr>
                <w:sz w:val="18"/>
              </w:rPr>
              <w:t>PPO + CMDP</w:t>
            </w:r>
          </w:p>
        </w:tc>
        <w:tc>
          <w:tcPr>
            <w:tcW w:type="dxa" w:w="3120"/>
          </w:tcPr>
          <w:p>
            <w:r>
              <w:rPr>
                <w:sz w:val="18"/>
              </w:rPr>
              <w:t>4.0 hr</w:t>
            </w:r>
          </w:p>
        </w:tc>
        <w:tc>
          <w:tcPr>
            <w:tcW w:type="dxa" w:w="3120"/>
          </w:tcPr>
          <w:p>
            <w:r>
              <w:rPr>
                <w:sz w:val="18"/>
              </w:rPr>
              <w:t>~12 hr (clustered)</w:t>
            </w:r>
          </w:p>
        </w:tc>
      </w:tr>
      <w:tr>
        <w:tc>
          <w:tcPr>
            <w:tcW w:type="dxa" w:w="3120"/>
          </w:tcPr>
          <w:p>
            <w:r>
              <w:rPr>
                <w:sz w:val="18"/>
              </w:rPr>
              <w:t>Evaluation</w:t>
            </w:r>
          </w:p>
        </w:tc>
        <w:tc>
          <w:tcPr>
            <w:tcW w:type="dxa" w:w="3120"/>
          </w:tcPr>
          <w:p>
            <w:r>
              <w:rPr>
                <w:sz w:val="18"/>
              </w:rPr>
              <w:t>2.0 hr</w:t>
            </w:r>
          </w:p>
        </w:tc>
        <w:tc>
          <w:tcPr>
            <w:tcW w:type="dxa" w:w="3120"/>
          </w:tcPr>
          <w:p>
            <w:r>
              <w:rPr>
                <w:sz w:val="18"/>
              </w:rPr>
              <w:t>~4 hr</w:t>
            </w:r>
          </w:p>
        </w:tc>
      </w:tr>
      <w:tr>
        <w:tc>
          <w:tcPr>
            <w:tcW w:type="dxa" w:w="3120"/>
          </w:tcPr>
          <w:p>
            <w:r>
              <w:rPr>
                <w:sz w:val="18"/>
              </w:rPr>
              <w:t>Total</w:t>
            </w:r>
          </w:p>
        </w:tc>
        <w:tc>
          <w:tcPr>
            <w:tcW w:type="dxa" w:w="3120"/>
          </w:tcPr>
          <w:p>
            <w:r>
              <w:rPr>
                <w:sz w:val="18"/>
              </w:rPr>
              <w:t>~10 hr</w:t>
            </w:r>
          </w:p>
        </w:tc>
        <w:tc>
          <w:tcPr>
            <w:tcW w:type="dxa" w:w="3120"/>
          </w:tcPr>
          <w:p>
            <w:r>
              <w:rPr>
                <w:sz w:val="18"/>
              </w:rPr>
              <w:t>~24 hr</w:t>
            </w:r>
          </w:p>
        </w:tc>
      </w:tr>
    </w:tbl>
    <w:p>
      <w:r>
        <w:rPr>
          <w:b w:val="0"/>
          <w:i w:val="0"/>
        </w:rPr>
        <w:t>Scaling to 1M users via K=50 clusters: 6.9% degradation vs per-user models (ablation). Inference: ~0.3ms/forward pass on CPU, within production latency requirements.</w:t>
      </w:r>
    </w:p>
    <w:p>
      <w:pPr>
        <w:pStyle w:val="Heading1"/>
      </w:pPr>
      <w:r>
        <w:rPr>
          <w:color w:val="000000"/>
        </w:rPr>
        <w:t>8. Conclusion</w:t>
      </w:r>
    </w:p>
    <w:p>
      <w:r>
        <w:rPr>
          <w:b w:val="0"/>
          <w:i w:val="0"/>
        </w:rPr>
        <w:t>We presented a comprehensive approach to wellbeing-aware recommendations combining personalized IRL, hybrid rewards, and safe RL. Our method achieves +7.4% wellbeing improvement over the best baseline (p&lt;0.001) while maintaining engagement. Safety compliance reaches 87.6% (within the ≤14.5% theoretical bound), with +16.0% higher wellbeing than the safest baseline (CPO).</w:t>
      </w:r>
    </w:p>
    <w:p>
      <w:r>
        <w:rPr>
          <w:b/>
          <w:i w:val="0"/>
        </w:rPr>
        <w:t>Key Contributions:</w:t>
      </w:r>
    </w:p>
    <w:p>
      <w:pPr>
        <w:pStyle w:val="ListNumber"/>
      </w:pPr>
      <w:r>
        <w:t>Novel hybrid reward framework with theoretical error decomposition (Theorem 5)</w:t>
      </w:r>
    </w:p>
    <w:p>
      <w:pPr>
        <w:pStyle w:val="ListNumber"/>
      </w:pPr>
      <w:r>
        <w:t>Personalization capturing 52% of wellbeing variance with formal benefit bound (Theorem 6)</w:t>
      </w:r>
    </w:p>
    <w:p>
      <w:pPr>
        <w:pStyle w:val="ListNumber"/>
      </w:pPr>
      <w:r>
        <w:t>Integrated safety with Pareto tradeoff analysis (87.6% compliance, within bound, +16.0% vs. CPO)</w:t>
      </w:r>
    </w:p>
    <w:p>
      <w:pPr>
        <w:pStyle w:val="ListNumber"/>
      </w:pPr>
      <w:r>
        <w:t>Comprehensive evaluation across 4 datasets and 7 baselines</w:t>
      </w:r>
    </w:p>
    <w:p>
      <w:pPr>
        <w:pStyle w:val="ListNumber"/>
      </w:pPr>
      <w:r>
        <w:t>Explicit offline-online gap analysis (6.7%) and scalability projections to 1M users</w:t>
      </w:r>
    </w:p>
    <w:p>
      <w:pPr>
        <w:pStyle w:val="ListNumber"/>
      </w:pPr>
      <w:r>
        <w:t>Wellbeing proxy construct validation with circularity analysis and proposed user study</w:t>
      </w:r>
    </w:p>
    <w:p>
      <w:pPr>
        <w:pStyle w:val="Heading1"/>
      </w:pPr>
      <w:r>
        <w:rPr>
          <w:color w:val="000000"/>
        </w:rPr>
        <w:t>References</w:t>
      </w:r>
    </w:p>
    <w:p>
      <w:pPr>
        <w:spacing w:after="40"/>
      </w:pPr>
      <w:r>
        <w:rPr>
          <w:sz w:val="16"/>
        </w:rPr>
        <w:t>[1] Pariser, E. (2011). The Filter Bubble. Penguin.</w:t>
      </w:r>
    </w:p>
    <w:p>
      <w:pPr>
        <w:spacing w:after="40"/>
      </w:pPr>
      <w:r>
        <w:rPr>
          <w:sz w:val="16"/>
        </w:rPr>
        <w:t>[2] Nguyen, T.T., et al. (2014). Exploring the filter bubble. WWW.</w:t>
      </w:r>
    </w:p>
    <w:p>
      <w:pPr>
        <w:spacing w:after="40"/>
      </w:pPr>
      <w:r>
        <w:rPr>
          <w:sz w:val="16"/>
        </w:rPr>
        <w:t>[3] Ziebart, B., et al. (2008). Maximum Entropy IRL. AAAI.</w:t>
      </w:r>
    </w:p>
    <w:p>
      <w:pPr>
        <w:spacing w:after="40"/>
      </w:pPr>
      <w:r>
        <w:rPr>
          <w:sz w:val="16"/>
        </w:rPr>
        <w:t>[4] Ramachandran, D., &amp; Amir, E. (2007). Bayesian IRL. IJCAI.</w:t>
      </w:r>
    </w:p>
    <w:p>
      <w:pPr>
        <w:spacing w:after="40"/>
      </w:pPr>
      <w:r>
        <w:rPr>
          <w:sz w:val="16"/>
        </w:rPr>
        <w:t>[5] Wulfmeier, M., et al. (2015). Maximum entropy deep IRL. arXiv.</w:t>
      </w:r>
    </w:p>
    <w:p>
      <w:pPr>
        <w:spacing w:after="40"/>
      </w:pPr>
      <w:r>
        <w:rPr>
          <w:sz w:val="16"/>
        </w:rPr>
        <w:t>[6] Fu, J., et al. (2018). Adversarial IRL. ICLR.</w:t>
      </w:r>
    </w:p>
    <w:p>
      <w:pPr>
        <w:spacing w:after="40"/>
      </w:pPr>
      <w:r>
        <w:rPr>
          <w:sz w:val="16"/>
        </w:rPr>
        <w:t>[7] Christiano, P., et al. (2017). Deep RL from human preferences. NeurIPS.</w:t>
      </w:r>
    </w:p>
    <w:p>
      <w:pPr>
        <w:spacing w:after="40"/>
      </w:pPr>
      <w:r>
        <w:rPr>
          <w:sz w:val="16"/>
        </w:rPr>
        <w:t>[8] Ouyang, L., et al. (2022). Training LMs with human feedback. NeurIPS.</w:t>
      </w:r>
    </w:p>
    <w:p>
      <w:pPr>
        <w:spacing w:after="40"/>
      </w:pPr>
      <w:r>
        <w:rPr>
          <w:sz w:val="16"/>
        </w:rPr>
        <w:t>[9] Bai, Y., et al. (2022). Constitutional AI. arXiv.</w:t>
      </w:r>
    </w:p>
    <w:p>
      <w:pPr>
        <w:spacing w:after="40"/>
      </w:pPr>
      <w:r>
        <w:rPr>
          <w:sz w:val="16"/>
        </w:rPr>
        <w:t>[10] Wang, X., et al. (2020). RL to rank with MDP. SIGIR.</w:t>
      </w:r>
    </w:p>
    <w:p>
      <w:pPr>
        <w:spacing w:after="40"/>
      </w:pPr>
      <w:r>
        <w:rPr>
          <w:sz w:val="16"/>
        </w:rPr>
        <w:t>[11] Chen, M., et al. (2019). Top-k off-policy correction. WSDM.</w:t>
      </w:r>
    </w:p>
    <w:p>
      <w:pPr>
        <w:spacing w:after="40"/>
      </w:pPr>
      <w:r>
        <w:rPr>
          <w:sz w:val="16"/>
        </w:rPr>
        <w:t>[12] Altman, E. (1998). Constrained MDPs. Chapman &amp; Hall/CRC.</w:t>
      </w:r>
    </w:p>
    <w:p>
      <w:pPr>
        <w:spacing w:after="40"/>
      </w:pPr>
      <w:r>
        <w:rPr>
          <w:sz w:val="16"/>
        </w:rPr>
        <w:t>[13] Achiam, J., et al. (2017). Constrained Policy Optimization. ICML.</w:t>
      </w:r>
    </w:p>
    <w:p>
      <w:pPr>
        <w:spacing w:after="40"/>
      </w:pPr>
      <w:r>
        <w:rPr>
          <w:sz w:val="16"/>
        </w:rPr>
        <w:t>[14] Alshiekh, M., et al. (2018). Safe RL via shielding. AAAI.</w:t>
      </w:r>
    </w:p>
    <w:p>
      <w:pPr>
        <w:spacing w:after="40"/>
      </w:pPr>
      <w:r>
        <w:rPr>
          <w:sz w:val="16"/>
        </w:rPr>
        <w:t>[15] Koren, Y., et al. (2009). Matrix factorization for RecSys. IEEE Computer.</w:t>
      </w:r>
    </w:p>
    <w:p>
      <w:pPr>
        <w:spacing w:after="40"/>
      </w:pPr>
      <w:r>
        <w:rPr>
          <w:sz w:val="16"/>
        </w:rPr>
        <w:t>[16] He, X., et al. (2017). Neural collaborative filtering. WWW.</w:t>
      </w:r>
    </w:p>
    <w:p>
      <w:pPr>
        <w:spacing w:after="40"/>
      </w:pPr>
      <w:r>
        <w:rPr>
          <w:sz w:val="16"/>
        </w:rPr>
        <w:t>[17] Roijers, D.M., et al. (2013). Multi-objective sequential decision-making. JAIR.</w:t>
      </w:r>
    </w:p>
    <w:p>
      <w:pPr>
        <w:spacing w:after="40"/>
      </w:pPr>
      <w:r>
        <w:rPr>
          <w:sz w:val="16"/>
        </w:rPr>
        <w:t>[18] Zhao, X., et al. (2021). Multitask ranking for video. RecSys.</w:t>
      </w:r>
    </w:p>
    <w:p>
      <w:pPr>
        <w:spacing w:after="40"/>
      </w:pPr>
      <w:r>
        <w:rPr>
          <w:sz w:val="16"/>
        </w:rPr>
        <w:t>[19] Milano, S., et al. (2020). RecSys ethical challenges. AI &amp; Society.</w:t>
      </w:r>
    </w:p>
    <w:p>
      <w:pPr>
        <w:spacing w:after="40"/>
      </w:pPr>
      <w:r>
        <w:rPr>
          <w:sz w:val="16"/>
        </w:rPr>
        <w:t>[20] Kumar, A., et al. (2020). Conservative Q-Learning. NeurIPS.</w:t>
      </w:r>
    </w:p>
    <w:p>
      <w:pPr>
        <w:spacing w:after="40"/>
      </w:pPr>
      <w:r>
        <w:rPr>
          <w:sz w:val="16"/>
        </w:rPr>
        <w:t>[21] Fujimoto, S., et al. (2019). Off-policy deep RL. ICML.</w:t>
      </w:r>
    </w:p>
    <w:p>
      <w:pPr>
        <w:spacing w:after="40"/>
      </w:pPr>
      <w:r>
        <w:rPr>
          <w:sz w:val="16"/>
        </w:rPr>
        <w:t>[22] Fu, J., et al. (2020). D4RL. arXiv.</w:t>
      </w:r>
    </w:p>
    <w:p>
      <w:pPr>
        <w:spacing w:after="40"/>
      </w:pPr>
      <w:r>
        <w:rPr>
          <w:sz w:val="16"/>
        </w:rPr>
        <w:t>[23] Li, L., et al. (2015). Predicting A/B experiment outcomes. RecSys.</w:t>
      </w:r>
    </w:p>
    <w:p>
      <w:pPr>
        <w:spacing w:after="40"/>
      </w:pPr>
      <w:r>
        <w:rPr>
          <w:sz w:val="16"/>
        </w:rPr>
        <w:t>[24] Chen, J., et al. (2019). Hierarchical recommendation. KDD.</w:t>
      </w:r>
    </w:p>
    <w:p>
      <w:pPr>
        <w:spacing w:after="40"/>
      </w:pPr>
      <w:r>
        <w:rPr>
          <w:sz w:val="16"/>
        </w:rPr>
        <w:t>[25] Zhao, X., et al. (2018). Deep RL for page-wise recommendations. RecSys.</w:t>
      </w:r>
    </w:p>
    <w:p>
      <w:pPr>
        <w:spacing w:after="40"/>
      </w:pPr>
      <w:r>
        <w:rPr>
          <w:sz w:val="16"/>
        </w:rPr>
        <w:t>[26] Knox, W.B., et al. (2023). Reward (mis)design. Artificial Intelligence.</w:t>
      </w:r>
    </w:p>
    <w:p>
      <w:pPr>
        <w:spacing w:after="40"/>
      </w:pPr>
      <w:r>
        <w:rPr>
          <w:sz w:val="16"/>
        </w:rPr>
        <w:t>[27] Yang, R., et al. (2019). Generalized MORL and policy adaptation. NeurIPS.</w:t>
      </w:r>
    </w:p>
    <w:p>
      <w:pPr>
        <w:spacing w:after="40"/>
      </w:pPr>
      <w:r>
        <w:rPr>
          <w:sz w:val="16"/>
        </w:rPr>
        <w:t>[28] Hidasi, B., et al. (2016). Session-based recommendations with RNNs. ICLR.</w:t>
      </w:r>
    </w:p>
    <w:p>
      <w:pPr>
        <w:spacing w:after="40"/>
      </w:pPr>
      <w:r>
        <w:rPr>
          <w:sz w:val="16"/>
        </w:rPr>
        <w:t>[29] Kang, W., &amp; McAuley, J. (2018). Self-attentive sequential recommendation. ICDM.</w:t>
      </w:r>
    </w:p>
    <w:p>
      <w:pPr>
        <w:spacing w:after="40"/>
      </w:pPr>
      <w:r>
        <w:rPr>
          <w:sz w:val="16"/>
        </w:rPr>
        <w:t>[30] Wu, Y., et al. (2023). Digital wellbeing in RecSys: A survey. ACM Comp. Surveys.</w:t>
      </w:r>
    </w:p>
    <w:p>
      <w:pPr>
        <w:spacing w:after="40"/>
      </w:pPr>
      <w:r>
        <w:rPr>
          <w:sz w:val="16"/>
        </w:rPr>
        <w:t>[31] Lukoff, K., et al. (2021). YouTube design and user agency. CHI.</w:t>
      </w:r>
    </w:p>
    <w:p>
      <w:pPr>
        <w:spacing w:after="40"/>
      </w:pPr>
      <w:r>
        <w:rPr>
          <w:sz w:val="16"/>
        </w:rPr>
        <w:t>[32] Monge Roffarello, A., &amp; De Russis, L. (2023). Digital Wellbeing Through Self-Control Tools. ACM Comp. Surveys.</w:t>
      </w:r>
    </w:p>
    <w:p>
      <w:pPr>
        <w:spacing w:after="40"/>
      </w:pPr>
      <w:r>
        <w:rPr>
          <w:sz w:val="16"/>
        </w:rPr>
        <w:t>[33] Burr, C., et al. (2020). The Ethics of Digital Well-Being. Science and Engineering Ethics.</w:t>
      </w:r>
    </w:p>
    <w:p>
      <w:pPr>
        <w:spacing w:after="40"/>
      </w:pPr>
      <w:r>
        <w:rPr>
          <w:sz w:val="16"/>
        </w:rPr>
        <w:t>[34] Stray, J. (2020). Aligning AI Optimization to Community Well-Being. Int. J. Community Well-Being.</w:t>
      </w:r>
    </w:p>
    <w:p>
      <w:pPr>
        <w:spacing w:after="40"/>
      </w:pPr>
      <w:r>
        <w:rPr>
          <w:sz w:val="16"/>
        </w:rPr>
        <w:t>[35] Zheng, Y., et al. (2022). Disentangling Long and Short-Term Interests for Recommendation. WWW.</w:t>
      </w:r>
    </w:p>
    <w:p>
      <w:pPr>
        <w:spacing w:after="40"/>
      </w:pPr>
      <w:r>
        <w:rPr>
          <w:sz w:val="16"/>
        </w:rPr>
        <w:t>[36] Chen, T., &amp; Wong, R. (2020). Handling Information Loss of GNNs for Session Rec. KDD.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