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80"/>
        <w:spacing w:after="0"/>
        <w:rPr>
          <w:sz w:val="20"/>
          <w:szCs w:val="20"/>
          <w:color w:val="auto"/>
        </w:rPr>
      </w:pPr>
      <w:r>
        <w:rPr>
          <w:rFonts w:ascii="Calibri" w:cs="Calibri" w:eastAsia="Calibri" w:hAnsi="Calibri"/>
          <w:sz w:val="28"/>
          <w:szCs w:val="28"/>
          <w:b w:val="1"/>
          <w:bCs w:val="1"/>
          <w:color w:val="auto"/>
        </w:rPr>
        <w:t>UPCOMING CENTRES OF LNMIIT</w:t>
      </w:r>
    </w:p>
    <w:p>
      <w:pPr>
        <w:spacing w:after="0" w:line="200" w:lineRule="exact"/>
        <w:rPr>
          <w:sz w:val="24"/>
          <w:szCs w:val="24"/>
          <w:color w:val="auto"/>
        </w:rPr>
      </w:pPr>
    </w:p>
    <w:p>
      <w:pPr>
        <w:spacing w:after="0" w:line="200" w:lineRule="exact"/>
        <w:rPr>
          <w:sz w:val="24"/>
          <w:szCs w:val="24"/>
          <w:color w:val="auto"/>
        </w:rPr>
      </w:pPr>
    </w:p>
    <w:p>
      <w:pPr>
        <w:spacing w:after="0" w:line="232"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auto"/>
        </w:rPr>
        <w:t>The LNMIIT Centre for Technology-Business Incubation and Entrepreneurial Leadership (L-CTBI&amp;EL)</w:t>
      </w:r>
    </w:p>
    <w:p>
      <w:pPr>
        <w:spacing w:after="0" w:line="147" w:lineRule="exact"/>
        <w:rPr>
          <w:sz w:val="24"/>
          <w:szCs w:val="24"/>
          <w:color w:val="auto"/>
        </w:rPr>
      </w:pPr>
    </w:p>
    <w:p>
      <w:pPr>
        <w:ind w:right="400" w:firstLine="720"/>
        <w:spacing w:after="0" w:line="189" w:lineRule="auto"/>
        <w:rPr>
          <w:sz w:val="20"/>
          <w:szCs w:val="20"/>
          <w:color w:val="auto"/>
        </w:rPr>
      </w:pPr>
      <w:r>
        <w:rPr>
          <w:rFonts w:ascii="Calibri" w:cs="Calibri" w:eastAsia="Calibri" w:hAnsi="Calibri"/>
          <w:sz w:val="22"/>
          <w:szCs w:val="22"/>
          <w:color w:val="auto"/>
        </w:rPr>
        <w:t xml:space="preserve">The LNMIIT is pleased to announce the creation of the </w:t>
      </w:r>
      <w:r>
        <w:rPr>
          <w:rFonts w:ascii="Gautami" w:cs="Gautami" w:eastAsia="Gautami" w:hAnsi="Gautami"/>
          <w:sz w:val="22"/>
          <w:szCs w:val="22"/>
          <w:color w:val="auto"/>
        </w:rPr>
        <w:t>​</w:t>
      </w:r>
      <w:r>
        <w:rPr>
          <w:rFonts w:ascii="Calibri" w:cs="Calibri" w:eastAsia="Calibri" w:hAnsi="Calibri"/>
          <w:sz w:val="22"/>
          <w:szCs w:val="22"/>
          <w:b w:val="1"/>
          <w:bCs w:val="1"/>
          <w:color w:val="auto"/>
        </w:rPr>
        <w:t>L-CTBI&amp;EL</w:t>
      </w:r>
      <w:r>
        <w:rPr>
          <w:rFonts w:ascii="Calibri" w:cs="Calibri" w:eastAsia="Calibri" w:hAnsi="Calibri"/>
          <w:sz w:val="22"/>
          <w:szCs w:val="22"/>
          <w:color w:val="auto"/>
        </w:rPr>
        <w:t xml:space="preserve"> </w:t>
      </w:r>
      <w:r>
        <w:rPr>
          <w:rFonts w:ascii="Gautami" w:cs="Gautami" w:eastAsia="Gautami" w:hAnsi="Gautami"/>
          <w:sz w:val="22"/>
          <w:szCs w:val="22"/>
          <w:b w:val="1"/>
          <w:bCs w:val="1"/>
          <w:color w:val="auto"/>
        </w:rPr>
        <w:t>​</w:t>
      </w:r>
      <w:r>
        <w:rPr>
          <w:rFonts w:ascii="Calibri" w:cs="Calibri" w:eastAsia="Calibri" w:hAnsi="Calibri"/>
          <w:sz w:val="22"/>
          <w:szCs w:val="22"/>
          <w:color w:val="auto"/>
        </w:rPr>
        <w:t>as a part of its selected focused sustainable</w:t>
      </w:r>
      <w:r>
        <w:rPr>
          <w:rFonts w:ascii="Gautami" w:cs="Gautami" w:eastAsia="Gautami" w:hAnsi="Gautami"/>
          <w:sz w:val="22"/>
          <w:szCs w:val="22"/>
          <w:color w:val="auto"/>
        </w:rPr>
        <w:t>​</w:t>
      </w:r>
      <w:r>
        <w:rPr>
          <w:rFonts w:ascii="Gautami" w:cs="Gautami" w:eastAsia="Gautami" w:hAnsi="Gautami"/>
          <w:sz w:val="22"/>
          <w:szCs w:val="22"/>
          <w:b w:val="1"/>
          <w:bCs w:val="1"/>
          <w:color w:val="auto"/>
        </w:rPr>
        <w:t>​</w:t>
      </w:r>
      <w:r>
        <w:rPr>
          <w:rFonts w:ascii="Calibri" w:cs="Calibri" w:eastAsia="Calibri" w:hAnsi="Calibri"/>
          <w:sz w:val="22"/>
          <w:szCs w:val="22"/>
          <w:color w:val="auto"/>
        </w:rPr>
        <w:t>innovation-enablement and technology-based opportunity creation initiatives having potential to enable early as well as long-term benefits to the campus, society and the Nation.</w:t>
      </w:r>
    </w:p>
    <w:p>
      <w:pPr>
        <w:spacing w:after="0" w:line="200" w:lineRule="exact"/>
        <w:rPr>
          <w:sz w:val="24"/>
          <w:szCs w:val="24"/>
          <w:color w:val="auto"/>
        </w:rPr>
      </w:pPr>
    </w:p>
    <w:p>
      <w:pPr>
        <w:spacing w:after="0" w:line="200" w:lineRule="exact"/>
        <w:rPr>
          <w:sz w:val="24"/>
          <w:szCs w:val="24"/>
          <w:color w:val="auto"/>
        </w:rPr>
      </w:pPr>
    </w:p>
    <w:p>
      <w:pPr>
        <w:spacing w:after="0" w:line="233"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auto"/>
        </w:rPr>
        <w:t>Centre for Education Technology and Teaching Learning Innovation (CET-TLI)</w:t>
      </w:r>
    </w:p>
    <w:p>
      <w:pPr>
        <w:spacing w:after="0" w:line="147" w:lineRule="exact"/>
        <w:rPr>
          <w:sz w:val="24"/>
          <w:szCs w:val="24"/>
          <w:color w:val="auto"/>
        </w:rPr>
      </w:pPr>
    </w:p>
    <w:p>
      <w:pPr>
        <w:ind w:right="100"/>
        <w:spacing w:after="0" w:line="235" w:lineRule="auto"/>
        <w:rPr>
          <w:sz w:val="20"/>
          <w:szCs w:val="20"/>
          <w:color w:val="auto"/>
        </w:rPr>
      </w:pPr>
      <w:r>
        <w:rPr>
          <w:rFonts w:ascii="Calibri" w:cs="Calibri" w:eastAsia="Calibri" w:hAnsi="Calibri"/>
          <w:sz w:val="22"/>
          <w:szCs w:val="22"/>
          <w:color w:val="auto"/>
        </w:rPr>
        <w:t>The</w:t>
      </w:r>
      <w:r>
        <w:rPr>
          <w:rFonts w:ascii="Gautami" w:cs="Gautami" w:eastAsia="Gautami" w:hAnsi="Gautami"/>
          <w:sz w:val="22"/>
          <w:szCs w:val="22"/>
          <w:color w:val="auto"/>
        </w:rPr>
        <w:t>​</w:t>
      </w:r>
      <w:r>
        <w:rPr>
          <w:rFonts w:ascii="Calibri" w:cs="Calibri" w:eastAsia="Calibri" w:hAnsi="Calibri"/>
          <w:sz w:val="22"/>
          <w:szCs w:val="22"/>
          <w:b w:val="1"/>
          <w:bCs w:val="1"/>
          <w:color w:val="auto"/>
        </w:rPr>
        <w:t>CET-TLI</w:t>
      </w:r>
      <w:r>
        <w:rPr>
          <w:rFonts w:ascii="Calibri" w:cs="Calibri" w:eastAsia="Calibri" w:hAnsi="Calibri"/>
          <w:sz w:val="22"/>
          <w:szCs w:val="22"/>
          <w:color w:val="auto"/>
        </w:rPr>
        <w:t xml:space="preserve"> </w:t>
      </w:r>
      <w:r>
        <w:rPr>
          <w:rFonts w:ascii="Gautami" w:cs="Gautami" w:eastAsia="Gautami" w:hAnsi="Gautami"/>
          <w:sz w:val="22"/>
          <w:szCs w:val="22"/>
          <w:b w:val="1"/>
          <w:bCs w:val="1"/>
          <w:color w:val="auto"/>
        </w:rPr>
        <w:t>​</w:t>
      </w:r>
      <w:r>
        <w:rPr>
          <w:rFonts w:ascii="Calibri" w:cs="Calibri" w:eastAsia="Calibri" w:hAnsi="Calibri"/>
          <w:sz w:val="22"/>
          <w:szCs w:val="22"/>
          <w:color w:val="auto"/>
        </w:rPr>
        <w:t>primarily works towards the identification of key needs of the Institute in the areas of teach-learning, pedagogy, effective evaluation / learning-assessment vehicles apart from the corresponding enabling technologies and intensive teaching-learning workshops for new teachers and retraining of selected existing faculty / laboratory staff as per need. The CET-TLI is also charged with the responsibility of identifying and / or creating technology-based cost-effective solutions as well as their pilot testing, deployment and delivery.</w:t>
      </w:r>
    </w:p>
    <w:p>
      <w:pPr>
        <w:spacing w:after="0" w:line="200" w:lineRule="exact"/>
        <w:rPr>
          <w:sz w:val="24"/>
          <w:szCs w:val="24"/>
          <w:color w:val="auto"/>
        </w:rPr>
      </w:pPr>
    </w:p>
    <w:p>
      <w:pPr>
        <w:spacing w:after="0" w:line="200" w:lineRule="exact"/>
        <w:rPr>
          <w:sz w:val="24"/>
          <w:szCs w:val="24"/>
          <w:color w:val="auto"/>
        </w:rPr>
      </w:pPr>
    </w:p>
    <w:p>
      <w:pPr>
        <w:spacing w:after="0" w:line="234"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auto"/>
        </w:rPr>
        <w:t>LNMIIT University Computing Services Centre(LUCS-Centre)</w:t>
      </w:r>
    </w:p>
    <w:p>
      <w:pPr>
        <w:spacing w:after="0" w:line="211" w:lineRule="exact"/>
        <w:rPr>
          <w:sz w:val="24"/>
          <w:szCs w:val="24"/>
          <w:color w:val="auto"/>
        </w:rPr>
      </w:pPr>
    </w:p>
    <w:p>
      <w:pPr>
        <w:ind w:right="220"/>
        <w:spacing w:after="0" w:line="258" w:lineRule="auto"/>
        <w:rPr>
          <w:sz w:val="20"/>
          <w:szCs w:val="20"/>
          <w:color w:val="auto"/>
        </w:rPr>
      </w:pPr>
      <w:r>
        <w:rPr>
          <w:rFonts w:ascii="Calibri" w:cs="Calibri" w:eastAsia="Calibri" w:hAnsi="Calibri"/>
          <w:sz w:val="21"/>
          <w:szCs w:val="21"/>
          <w:color w:val="auto"/>
        </w:rPr>
        <w:t>The Centre primarily works towards the identification of key computing needs of the Institute for effective planning and maintenance of entire computing infrastructure but not limited to network infrastructure, Internet access, cybersecurity, VoIP telephony support and related integration services.</w:t>
      </w:r>
    </w:p>
    <w:p>
      <w:pPr>
        <w:spacing w:after="0" w:line="200" w:lineRule="exact"/>
        <w:rPr>
          <w:sz w:val="24"/>
          <w:szCs w:val="24"/>
          <w:color w:val="auto"/>
        </w:rPr>
      </w:pPr>
    </w:p>
    <w:p>
      <w:pPr>
        <w:spacing w:after="0" w:line="200" w:lineRule="exact"/>
        <w:rPr>
          <w:sz w:val="24"/>
          <w:szCs w:val="24"/>
          <w:color w:val="auto"/>
        </w:rPr>
      </w:pPr>
    </w:p>
    <w:p>
      <w:pPr>
        <w:spacing w:after="0" w:line="214"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auto"/>
        </w:rPr>
        <w:t>LNM Centre for Smart Technology (L-CST)</w:t>
      </w:r>
    </w:p>
    <w:p>
      <w:pPr>
        <w:spacing w:after="0" w:line="211" w:lineRule="exact"/>
        <w:rPr>
          <w:sz w:val="24"/>
          <w:szCs w:val="24"/>
          <w:color w:val="auto"/>
        </w:rPr>
      </w:pPr>
    </w:p>
    <w:p>
      <w:pPr>
        <w:ind w:right="120"/>
        <w:spacing w:after="0" w:line="248" w:lineRule="auto"/>
        <w:rPr>
          <w:sz w:val="20"/>
          <w:szCs w:val="20"/>
          <w:color w:val="auto"/>
        </w:rPr>
      </w:pPr>
      <w:r>
        <w:rPr>
          <w:rFonts w:ascii="Calibri" w:cs="Calibri" w:eastAsia="Calibri" w:hAnsi="Calibri"/>
          <w:sz w:val="22"/>
          <w:szCs w:val="22"/>
          <w:color w:val="auto"/>
        </w:rPr>
        <w:t>The L-CST primarily works towards the identification of key needs that the campus, society, state and the nation may have which in a prioritized and phase-wise manner could be helped with the creation of smart technology-based cost-effective solutions, testing and deployment. The L-CST aims at evolving into a center of excellence in terms of research, innovation, development and new venture creation in the IoT/CPS areas.</w:t>
      </w:r>
    </w:p>
    <w:p>
      <w:pPr>
        <w:spacing w:after="0" w:line="200" w:lineRule="exact"/>
        <w:rPr>
          <w:sz w:val="24"/>
          <w:szCs w:val="24"/>
          <w:color w:val="auto"/>
        </w:rPr>
      </w:pPr>
    </w:p>
    <w:p>
      <w:pPr>
        <w:spacing w:after="0" w:line="200" w:lineRule="exact"/>
        <w:rPr>
          <w:sz w:val="24"/>
          <w:szCs w:val="24"/>
          <w:color w:val="auto"/>
        </w:rPr>
      </w:pPr>
    </w:p>
    <w:p>
      <w:pPr>
        <w:spacing w:after="0" w:line="223"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auto"/>
        </w:rPr>
        <w:t>The Centre for Cryptography, Cyber Security and Digital Forensics.</w:t>
      </w:r>
    </w:p>
    <w:p>
      <w:pPr>
        <w:spacing w:after="0" w:line="211" w:lineRule="exact"/>
        <w:rPr>
          <w:sz w:val="24"/>
          <w:szCs w:val="24"/>
          <w:color w:val="auto"/>
        </w:rPr>
      </w:pPr>
    </w:p>
    <w:p>
      <w:pPr>
        <w:ind w:right="420"/>
        <w:spacing w:after="0" w:line="245" w:lineRule="auto"/>
        <w:rPr>
          <w:sz w:val="20"/>
          <w:szCs w:val="20"/>
          <w:color w:val="auto"/>
        </w:rPr>
      </w:pPr>
      <w:r>
        <w:rPr>
          <w:rFonts w:ascii="Calibri" w:cs="Calibri" w:eastAsia="Calibri" w:hAnsi="Calibri"/>
          <w:sz w:val="22"/>
          <w:szCs w:val="22"/>
          <w:color w:val="auto"/>
        </w:rPr>
        <w:t>The C3-SDF carries out industry-relevant research involving Information Security, Cryptography Cybersecurity and Digital Forensics. The Centre would be encouraged to become a multi-disciplinary innovation hub around which not only the LNMIIT but also other institutions and industries in the vicinity could get enabled over the years.</w:t>
      </w:r>
    </w:p>
    <w:p>
      <w:pPr>
        <w:sectPr>
          <w:pgSz w:w="12240" w:h="15840" w:orient="portrait"/>
          <w:cols w:equalWidth="0" w:num="1">
            <w:col w:w="9360"/>
          </w:cols>
          <w:pgMar w:left="1440" w:top="1436" w:right="1440"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41" w:lineRule="exact"/>
        <w:rPr>
          <w:sz w:val="24"/>
          <w:szCs w:val="24"/>
          <w:color w:val="auto"/>
        </w:rPr>
      </w:pPr>
    </w:p>
    <w:p>
      <w:pPr>
        <w:spacing w:after="0"/>
        <w:rPr>
          <w:sz w:val="20"/>
          <w:szCs w:val="20"/>
          <w:color w:val="auto"/>
        </w:rPr>
      </w:pPr>
      <w:r>
        <w:rPr>
          <w:rFonts w:ascii="Calibri" w:cs="Calibri" w:eastAsia="Calibri" w:hAnsi="Calibri"/>
          <w:sz w:val="21"/>
          <w:szCs w:val="21"/>
          <w:b w:val="1"/>
          <w:bCs w:val="1"/>
          <w:color w:val="auto"/>
        </w:rPr>
        <w:t>The Centre for Machine Learning and Big Data Analytics</w:t>
      </w:r>
    </w:p>
    <w:p>
      <w:pPr>
        <w:sectPr>
          <w:pgSz w:w="12240" w:h="15840" w:orient="portrait"/>
          <w:cols w:equalWidth="0" w:num="1">
            <w:col w:w="9360"/>
          </w:cols>
          <w:pgMar w:left="1440" w:top="1436" w:right="1440" w:bottom="1440" w:gutter="0" w:footer="0" w:header="0"/>
          <w:type w:val="continuous"/>
        </w:sectPr>
      </w:pPr>
    </w:p>
    <w:bookmarkStart w:id="1" w:name="page2"/>
    <w:bookmarkEnd w:id="1"/>
    <w:p>
      <w:pPr>
        <w:spacing w:after="0" w:line="25" w:lineRule="exact"/>
        <w:rPr>
          <w:sz w:val="20"/>
          <w:szCs w:val="20"/>
          <w:color w:val="auto"/>
        </w:rPr>
      </w:pPr>
    </w:p>
    <w:p>
      <w:pPr>
        <w:ind w:right="160"/>
        <w:spacing w:after="0" w:line="241" w:lineRule="auto"/>
        <w:rPr>
          <w:sz w:val="20"/>
          <w:szCs w:val="20"/>
          <w:color w:val="auto"/>
        </w:rPr>
      </w:pPr>
      <w:r>
        <w:rPr>
          <w:rFonts w:ascii="Calibri" w:cs="Calibri" w:eastAsia="Calibri" w:hAnsi="Calibri"/>
          <w:sz w:val="22"/>
          <w:szCs w:val="22"/>
          <w:color w:val="auto"/>
        </w:rPr>
        <w:t>The Centre has the mandate of evolving into a Centre of Excellence in terms of research, innovation, development and new venture creation in machine learning, deep learning, bigdata, business analytics, information retrieval and associate areas.</w:t>
      </w:r>
    </w:p>
    <w:p>
      <w:pPr>
        <w:spacing w:after="0" w:line="200" w:lineRule="exact"/>
        <w:rPr>
          <w:sz w:val="20"/>
          <w:szCs w:val="20"/>
          <w:color w:val="auto"/>
        </w:rPr>
      </w:pPr>
    </w:p>
    <w:p>
      <w:pPr>
        <w:spacing w:after="0" w:line="397" w:lineRule="exact"/>
        <w:rPr>
          <w:sz w:val="20"/>
          <w:szCs w:val="20"/>
          <w:color w:val="auto"/>
        </w:rPr>
      </w:pPr>
    </w:p>
    <w:p>
      <w:pPr>
        <w:ind w:left="40"/>
        <w:spacing w:after="0"/>
        <w:rPr>
          <w:sz w:val="20"/>
          <w:szCs w:val="20"/>
          <w:color w:val="auto"/>
        </w:rPr>
      </w:pPr>
      <w:r>
        <w:rPr>
          <w:rFonts w:ascii="Gautami" w:cs="Gautami" w:eastAsia="Gautami" w:hAnsi="Gautami"/>
          <w:sz w:val="22"/>
          <w:szCs w:val="22"/>
          <w:color w:val="auto"/>
        </w:rPr>
        <w:t>​</w:t>
      </w:r>
      <w:r>
        <w:rPr>
          <w:rFonts w:ascii="Calibri" w:cs="Calibri" w:eastAsia="Calibri" w:hAnsi="Calibri"/>
          <w:sz w:val="22"/>
          <w:szCs w:val="22"/>
          <w:b w:val="1"/>
          <w:bCs w:val="1"/>
          <w:color w:val="auto"/>
        </w:rPr>
        <w:t>LNMIIT Centre for Robotics and Artificial Intelligence (C-RAI)</w:t>
      </w:r>
    </w:p>
    <w:p>
      <w:pPr>
        <w:spacing w:after="0" w:line="95" w:lineRule="exact"/>
        <w:rPr>
          <w:sz w:val="20"/>
          <w:szCs w:val="20"/>
          <w:color w:val="auto"/>
        </w:rPr>
      </w:pPr>
    </w:p>
    <w:p>
      <w:pPr>
        <w:spacing w:after="0" w:line="238" w:lineRule="auto"/>
        <w:rPr>
          <w:sz w:val="20"/>
          <w:szCs w:val="20"/>
          <w:color w:val="auto"/>
        </w:rPr>
      </w:pPr>
      <w:r>
        <w:rPr>
          <w:rFonts w:ascii="Calibri" w:cs="Calibri" w:eastAsia="Calibri" w:hAnsi="Calibri"/>
          <w:sz w:val="22"/>
          <w:szCs w:val="22"/>
          <w:color w:val="auto"/>
        </w:rPr>
        <w:t xml:space="preserve">This multidisciplinary virtual Centre works at the interface of ME, ECE and CSE with select interactions from Physics, Math and Humanities &amp; Social Science(HSS). The Centre has the mandate of evolving into a Centre of Excellence in terms of research, innovation, development and new venture creation in the relevant areas of expertise in </w:t>
      </w:r>
      <w:r>
        <w:rPr>
          <w:rFonts w:ascii="Gautami" w:cs="Gautami" w:eastAsia="Gautami" w:hAnsi="Gautami"/>
          <w:sz w:val="22"/>
          <w:szCs w:val="22"/>
          <w:color w:val="auto"/>
        </w:rPr>
        <w:t>​</w:t>
      </w:r>
      <w:r>
        <w:rPr>
          <w:rFonts w:ascii="Calibri" w:cs="Calibri" w:eastAsia="Calibri" w:hAnsi="Calibri"/>
          <w:sz w:val="22"/>
          <w:szCs w:val="22"/>
          <w:b w:val="1"/>
          <w:bCs w:val="1"/>
          <w:color w:val="auto"/>
        </w:rPr>
        <w:t>Robotics and Artificial Intelligence.</w:t>
      </w:r>
    </w:p>
    <w:p>
      <w:pPr>
        <w:spacing w:after="0" w:line="200" w:lineRule="exact"/>
        <w:rPr>
          <w:sz w:val="20"/>
          <w:szCs w:val="20"/>
          <w:color w:val="auto"/>
        </w:rPr>
      </w:pPr>
    </w:p>
    <w:p>
      <w:pPr>
        <w:spacing w:after="0" w:line="31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Centre for Next-Generation Communication &amp; Networking (C-NGCN)</w:t>
      </w:r>
    </w:p>
    <w:p>
      <w:pPr>
        <w:spacing w:after="0" w:line="211" w:lineRule="exact"/>
        <w:rPr>
          <w:sz w:val="20"/>
          <w:szCs w:val="20"/>
          <w:color w:val="auto"/>
        </w:rPr>
      </w:pPr>
    </w:p>
    <w:p>
      <w:pPr>
        <w:ind w:right="200"/>
        <w:spacing w:after="0" w:line="245" w:lineRule="auto"/>
        <w:rPr>
          <w:sz w:val="20"/>
          <w:szCs w:val="20"/>
          <w:color w:val="auto"/>
        </w:rPr>
      </w:pPr>
      <w:r>
        <w:rPr>
          <w:rFonts w:ascii="Calibri" w:cs="Calibri" w:eastAsia="Calibri" w:hAnsi="Calibri"/>
          <w:sz w:val="22"/>
          <w:szCs w:val="22"/>
          <w:color w:val="auto"/>
        </w:rPr>
        <w:t>This multidisciplinary virtual Centre works at the interface of Communication Engineering, Computer Science and Engineering with select interactions from Physics, Math and Humanities &amp; Social Science(HSS). The focus areas includes 5G(and beyond), Software-Defined Radio and Software-Defined Networking.</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auto"/>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2018-02-12T06:13:38Z</dcterms:created>
  <dcterms:modified xsi:type="dcterms:W3CDTF">2018-02-12T06:13:38Z</dcterms:modified>
</cp:coreProperties>
</file>