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4B5"/>
          <w:sz w:val="18"/>
        </w:rPr>
        <w:t>OPERATING REFERENCE</w:t>
      </w:r>
    </w:p>
    <w:p>
      <w:pPr>
        <w:spacing w:after="60"/>
      </w:pPr>
      <w:r>
        <w:rPr>
          <w:b/>
          <w:color w:val="1F2933"/>
          <w:sz w:val="48"/>
        </w:rPr>
        <w:t>Satmi Inventory &amp; Operations System Guide</w:t>
      </w:r>
    </w:p>
    <w:p>
      <w:pPr>
        <w:spacing w:after="280"/>
      </w:pPr>
      <w:r>
        <w:rPr>
          <w:color w:val="5F6B76"/>
          <w:sz w:val="26"/>
        </w:rPr>
        <w:t>Current-state workflow, data model, UI direction, and control plan</w:t>
      </w:r>
    </w:p>
    <w:tbl>
      <w:tblPr>
        <w:tblW w:type="dxa" w:w="9792"/>
        <w:jc w:val="left"/>
        <w:tblLayout w:type="fixed"/>
        <w:tblLook w:firstColumn="1" w:firstRow="1" w:lastColumn="0" w:lastRow="0" w:noHBand="0" w:noVBand="1" w:val="04A0"/>
      </w:tblPr>
      <w:tblGrid>
        <w:gridCol w:w="3264"/>
        <w:gridCol w:w="3264"/>
        <w:gridCol w:w="3264"/>
      </w:tblGrid>
      <w:tr>
        <w:tc>
          <w:tcPr>
            <w:tcW w:type="dxa" w:w="2160"/>
            <w:shd w:fill="2E74B5"/>
            <w:vAlign w:val="center"/>
          </w:tcPr>
          <w:p>
            <w:pPr>
              <w:spacing w:after="0" w:line="240" w:lineRule="auto"/>
            </w:pPr>
            <w:r/>
            <w:r>
              <w:rPr>
                <w:rFonts w:ascii="Calibri" w:hAnsi="Calibri"/>
                <w:b/>
                <w:color w:val="FFFFFF"/>
                <w:sz w:val="18"/>
              </w:rPr>
              <w:t>Owner</w:t>
            </w:r>
          </w:p>
        </w:tc>
        <w:tc>
          <w:tcPr>
            <w:tcW w:type="dxa" w:w="4896"/>
            <w:shd w:fill="2E74B5"/>
            <w:vAlign w:val="center"/>
          </w:tcPr>
          <w:p>
            <w:pPr>
              <w:spacing w:after="0" w:line="240" w:lineRule="auto"/>
            </w:pPr>
            <w:r/>
            <w:r>
              <w:rPr>
                <w:rFonts w:ascii="Calibri" w:hAnsi="Calibri"/>
                <w:b/>
                <w:color w:val="FFFFFF"/>
                <w:sz w:val="18"/>
              </w:rPr>
              <w:t>Coverage</w:t>
            </w:r>
          </w:p>
        </w:tc>
        <w:tc>
          <w:tcPr>
            <w:tcW w:type="dxa" w:w="2736"/>
            <w:shd w:fill="2E74B5"/>
            <w:vAlign w:val="center"/>
          </w:tcPr>
          <w:p>
            <w:pPr>
              <w:spacing w:after="0" w:line="240" w:lineRule="auto"/>
            </w:pPr>
            <w:r/>
            <w:r>
              <w:rPr>
                <w:rFonts w:ascii="Calibri" w:hAnsi="Calibri"/>
                <w:b/>
                <w:color w:val="FFFFFF"/>
                <w:sz w:val="18"/>
              </w:rPr>
              <w:t>Status</w:t>
            </w:r>
          </w:p>
        </w:tc>
      </w:tr>
      <w:tr>
        <w:tc>
          <w:tcPr>
            <w:tcW w:type="dxa" w:w="2160"/>
            <w:shd w:fill="F2F4F7"/>
            <w:vAlign w:val="center"/>
          </w:tcPr>
          <w:p>
            <w:pPr>
              <w:spacing w:after="0" w:line="240" w:lineRule="auto"/>
            </w:pPr>
            <w:r/>
            <w:r>
              <w:rPr>
                <w:rFonts w:ascii="Calibri" w:hAnsi="Calibri"/>
                <w:b w:val="0"/>
                <w:color w:val="1F2933"/>
                <w:sz w:val="18"/>
              </w:rPr>
              <w:t>Operations + warehouse</w:t>
            </w:r>
          </w:p>
        </w:tc>
        <w:tc>
          <w:tcPr>
            <w:tcW w:type="dxa" w:w="4896"/>
            <w:shd w:fill="F2F4F7"/>
            <w:vAlign w:val="center"/>
          </w:tcPr>
          <w:p>
            <w:pPr>
              <w:spacing w:after="0" w:line="240" w:lineRule="auto"/>
            </w:pPr>
            <w:r/>
            <w:r>
              <w:rPr>
                <w:rFonts w:ascii="Calibri" w:hAnsi="Calibri"/>
                <w:b w:val="0"/>
                <w:color w:val="1F2933"/>
                <w:sz w:val="18"/>
              </w:rPr>
              <w:t>Orders · confirmation · fulfillment · components · RTO</w:t>
            </w:r>
          </w:p>
        </w:tc>
        <w:tc>
          <w:tcPr>
            <w:tcW w:type="dxa" w:w="2736"/>
            <w:shd w:fill="F2F4F7"/>
            <w:vAlign w:val="center"/>
          </w:tcPr>
          <w:p>
            <w:pPr>
              <w:spacing w:after="0" w:line="240" w:lineRule="auto"/>
            </w:pPr>
            <w:r/>
            <w:r>
              <w:rPr>
                <w:rFonts w:ascii="Calibri" w:hAnsi="Calibri"/>
                <w:b w:val="0"/>
                <w:color w:val="1F2933"/>
                <w:sz w:val="18"/>
              </w:rPr>
              <w:t>Current-state guide + improvement plan</w:t>
            </w:r>
          </w:p>
        </w:tc>
      </w:tr>
    </w:tbl>
    <w:p>
      <w:pPr>
        <w:pStyle w:val="Heading1"/>
      </w:pPr>
      <w:r>
        <w:t>1. Executive summary</w:t>
      </w:r>
    </w:p>
    <w:p>
      <w:r>
        <w:t>Satmi is a role-aware operations workspace backed by Supabase/Postgres. It receives orders from Shopify, enriches them with product and component requirements, coordinates confirmation and fulfillment, tracks shipment events from Shiprocket, and maintains physical inventory through append-only ledgers. The core workflow exists; the main usability risk is that operators have to infer the sequence from several screens and dense tables.</w:t>
      </w:r>
    </w:p>
    <w:p>
      <w:r>
        <w:t>The product direction is one shared visual system across Operations and Inventory, explicit theme control, clean table-first layouts, and a visible exception queue. The ledger and status history remain the system of record while the UI becomes a set of focused work queues over that data.</w:t>
      </w:r>
    </w:p>
    <w:p>
      <w:pPr>
        <w:pStyle w:val="Heading2"/>
      </w:pPr>
      <w:r>
        <w:t>Key decisions for the next iteration</w:t>
      </w:r>
    </w:p>
    <w:p>
      <w:pPr>
        <w:pStyle w:val="ListBullet"/>
      </w:pPr>
      <w:r>
        <w:t>Use one shared shell: consistent dark/light surfaces, borders, text contrast, spacing, buttons, search, and table behavior.</w:t>
      </w:r>
    </w:p>
    <w:p>
      <w:pPr>
        <w:pStyle w:val="ListBullet"/>
      </w:pPr>
      <w:r>
        <w:t>Treat every wide data set as a contained table with sticky headers/columns where useful and intentional horizontal scrolling.</w:t>
      </w:r>
    </w:p>
    <w:p>
      <w:pPr>
        <w:pStyle w:val="ListBullet"/>
      </w:pPr>
      <w:r>
        <w:t>Make the order journey visible: Received → Confirmed → Requirements ready → Shipment created → Picked up → Delivered or RTO → QC/restock.</w:t>
      </w:r>
    </w:p>
    <w:p>
      <w:pPr>
        <w:pStyle w:val="ListBullet"/>
      </w:pPr>
      <w:r>
        <w:t>Control inventory with ledger-backed adjustments, cycle counts, shortage alerts, RTO QC, and daily reconciliation.</w:t>
      </w:r>
    </w:p>
    <w:p>
      <w:pPr>
        <w:pStyle w:val="Heading1"/>
      </w:pPr>
      <w:r>
        <w:t>2. Current system map</w:t>
      </w:r>
    </w:p>
    <w:tbl>
      <w:tblPr>
        <w:tblW w:type="dxa" w:w="9792"/>
        <w:jc w:val="left"/>
        <w:tblLayout w:type="fixed"/>
        <w:tblLook w:firstColumn="1" w:firstRow="1" w:lastColumn="0" w:lastRow="0" w:noHBand="0" w:noVBand="1" w:val="04A0"/>
      </w:tblPr>
      <w:tblGrid>
        <w:gridCol w:w="3264"/>
        <w:gridCol w:w="3264"/>
        <w:gridCol w:w="3264"/>
      </w:tblGrid>
      <w:tr>
        <w:tc>
          <w:tcPr>
            <w:tcW w:type="dxa" w:w="1944"/>
            <w:shd w:fill="2E74B5"/>
            <w:vAlign w:val="center"/>
          </w:tcPr>
          <w:p>
            <w:pPr>
              <w:spacing w:after="0" w:line="240" w:lineRule="auto"/>
            </w:pPr>
            <w:r/>
            <w:r>
              <w:rPr>
                <w:rFonts w:ascii="Calibri" w:hAnsi="Calibri"/>
                <w:b/>
                <w:color w:val="FFFFFF"/>
                <w:sz w:val="18"/>
              </w:rPr>
              <w:t>Area</w:t>
            </w:r>
          </w:p>
        </w:tc>
        <w:tc>
          <w:tcPr>
            <w:tcW w:type="dxa" w:w="5400"/>
            <w:shd w:fill="2E74B5"/>
            <w:vAlign w:val="center"/>
          </w:tcPr>
          <w:p>
            <w:pPr>
              <w:spacing w:after="0" w:line="240" w:lineRule="auto"/>
            </w:pPr>
            <w:r/>
            <w:r>
              <w:rPr>
                <w:rFonts w:ascii="Calibri" w:hAnsi="Calibri"/>
                <w:b/>
                <w:color w:val="FFFFFF"/>
                <w:sz w:val="18"/>
              </w:rPr>
              <w:t>What exists today</w:t>
            </w:r>
          </w:p>
        </w:tc>
        <w:tc>
          <w:tcPr>
            <w:tcW w:type="dxa" w:w="2448"/>
            <w:shd w:fill="2E74B5"/>
            <w:vAlign w:val="center"/>
          </w:tcPr>
          <w:p>
            <w:pPr>
              <w:spacing w:after="0" w:line="240" w:lineRule="auto"/>
            </w:pPr>
            <w:r/>
            <w:r>
              <w:rPr>
                <w:rFonts w:ascii="Calibri" w:hAnsi="Calibri"/>
                <w:b/>
                <w:color w:val="FFFFFF"/>
                <w:sz w:val="18"/>
              </w:rPr>
              <w:t>Primary user</w:t>
            </w:r>
          </w:p>
        </w:tc>
      </w:tr>
      <w:tr>
        <w:tc>
          <w:tcPr>
            <w:tcW w:type="dxa" w:w="1944"/>
            <w:shd w:fill="F2F4F7"/>
            <w:vAlign w:val="center"/>
          </w:tcPr>
          <w:p>
            <w:pPr>
              <w:spacing w:after="0" w:line="240" w:lineRule="auto"/>
            </w:pPr>
            <w:r/>
            <w:r>
              <w:rPr>
                <w:rFonts w:ascii="Calibri" w:hAnsi="Calibri"/>
                <w:b w:val="0"/>
                <w:color w:val="1F2933"/>
                <w:sz w:val="18"/>
              </w:rPr>
              <w:t>Operations overview</w:t>
            </w:r>
          </w:p>
        </w:tc>
        <w:tc>
          <w:tcPr>
            <w:tcW w:type="dxa" w:w="5400"/>
            <w:shd w:fill="F2F4F7"/>
            <w:vAlign w:val="center"/>
          </w:tcPr>
          <w:p>
            <w:pPr>
              <w:spacing w:after="0" w:line="240" w:lineRule="auto"/>
            </w:pPr>
            <w:r/>
            <w:r>
              <w:rPr>
                <w:rFonts w:ascii="Calibri" w:hAnsi="Calibri"/>
                <w:b w:val="0"/>
                <w:color w:val="1F2933"/>
                <w:sz w:val="18"/>
              </w:rPr>
              <w:t>Blockers, metrics, recent order stream, pipeline view</w:t>
            </w:r>
          </w:p>
        </w:tc>
        <w:tc>
          <w:tcPr>
            <w:tcW w:type="dxa" w:w="2448"/>
            <w:shd w:fill="F2F4F7"/>
            <w:vAlign w:val="center"/>
          </w:tcPr>
          <w:p>
            <w:pPr>
              <w:spacing w:after="0" w:line="240" w:lineRule="auto"/>
            </w:pPr>
            <w:r/>
            <w:r>
              <w:rPr>
                <w:rFonts w:ascii="Calibri" w:hAnsi="Calibri"/>
                <w:b w:val="0"/>
                <w:color w:val="1F2933"/>
                <w:sz w:val="18"/>
              </w:rPr>
              <w:t>Manager / admin</w:t>
            </w:r>
          </w:p>
        </w:tc>
      </w:tr>
      <w:tr>
        <w:tc>
          <w:tcPr>
            <w:tcW w:type="dxa" w:w="1944"/>
            <w:shd w:fill="FFFFFF"/>
            <w:vAlign w:val="center"/>
          </w:tcPr>
          <w:p>
            <w:pPr>
              <w:spacing w:after="0" w:line="240" w:lineRule="auto"/>
            </w:pPr>
            <w:r/>
            <w:r>
              <w:rPr>
                <w:rFonts w:ascii="Calibri" w:hAnsi="Calibri"/>
                <w:b w:val="0"/>
                <w:color w:val="1F2933"/>
                <w:sz w:val="18"/>
              </w:rPr>
              <w:t>Orders + confirmation</w:t>
            </w:r>
          </w:p>
        </w:tc>
        <w:tc>
          <w:tcPr>
            <w:tcW w:type="dxa" w:w="5400"/>
            <w:shd w:fill="FFFFFF"/>
            <w:vAlign w:val="center"/>
          </w:tcPr>
          <w:p>
            <w:pPr>
              <w:spacing w:after="0" w:line="240" w:lineRule="auto"/>
            </w:pPr>
            <w:r/>
            <w:r>
              <w:rPr>
                <w:rFonts w:ascii="Calibri" w:hAnsi="Calibri"/>
                <w:b w:val="0"/>
                <w:color w:val="1F2933"/>
                <w:sz w:val="18"/>
              </w:rPr>
              <w:t>Order queue, assignment, call outcomes, cancellation review</w:t>
            </w:r>
          </w:p>
        </w:tc>
        <w:tc>
          <w:tcPr>
            <w:tcW w:type="dxa" w:w="2448"/>
            <w:shd w:fill="FFFFFF"/>
            <w:vAlign w:val="center"/>
          </w:tcPr>
          <w:p>
            <w:pPr>
              <w:spacing w:after="0" w:line="240" w:lineRule="auto"/>
            </w:pPr>
            <w:r/>
            <w:r>
              <w:rPr>
                <w:rFonts w:ascii="Calibri" w:hAnsi="Calibri"/>
                <w:b w:val="0"/>
                <w:color w:val="1F2933"/>
                <w:sz w:val="18"/>
              </w:rPr>
              <w:t>Operations / confirmation agent</w:t>
            </w:r>
          </w:p>
        </w:tc>
      </w:tr>
      <w:tr>
        <w:tc>
          <w:tcPr>
            <w:tcW w:type="dxa" w:w="1944"/>
            <w:shd w:fill="F2F4F7"/>
            <w:vAlign w:val="center"/>
          </w:tcPr>
          <w:p>
            <w:pPr>
              <w:spacing w:after="0" w:line="240" w:lineRule="auto"/>
            </w:pPr>
            <w:r/>
            <w:r>
              <w:rPr>
                <w:rFonts w:ascii="Calibri" w:hAnsi="Calibri"/>
                <w:b w:val="0"/>
                <w:color w:val="1F2933"/>
                <w:sz w:val="18"/>
              </w:rPr>
              <w:t>Fulfillment</w:t>
            </w:r>
          </w:p>
        </w:tc>
        <w:tc>
          <w:tcPr>
            <w:tcW w:type="dxa" w:w="5400"/>
            <w:shd w:fill="F2F4F7"/>
            <w:vAlign w:val="center"/>
          </w:tcPr>
          <w:p>
            <w:pPr>
              <w:spacing w:after="0" w:line="240" w:lineRule="auto"/>
            </w:pPr>
            <w:r/>
            <w:r>
              <w:rPr>
                <w:rFonts w:ascii="Calibri" w:hAnsi="Calibri"/>
                <w:b w:val="0"/>
                <w:color w:val="1F2933"/>
                <w:sz w:val="18"/>
              </w:rPr>
              <w:t>Packaging decisions, labels, shipment sync, pickup/delivery state</w:t>
            </w:r>
          </w:p>
        </w:tc>
        <w:tc>
          <w:tcPr>
            <w:tcW w:type="dxa" w:w="2448"/>
            <w:shd w:fill="F2F4F7"/>
            <w:vAlign w:val="center"/>
          </w:tcPr>
          <w:p>
            <w:pPr>
              <w:spacing w:after="0" w:line="240" w:lineRule="auto"/>
            </w:pPr>
            <w:r/>
            <w:r>
              <w:rPr>
                <w:rFonts w:ascii="Calibri" w:hAnsi="Calibri"/>
                <w:b w:val="0"/>
                <w:color w:val="1F2933"/>
                <w:sz w:val="18"/>
              </w:rPr>
              <w:t>Operations / warehouse</w:t>
            </w:r>
          </w:p>
        </w:tc>
      </w:tr>
      <w:tr>
        <w:tc>
          <w:tcPr>
            <w:tcW w:type="dxa" w:w="1944"/>
            <w:shd w:fill="FFFFFF"/>
            <w:vAlign w:val="center"/>
          </w:tcPr>
          <w:p>
            <w:pPr>
              <w:spacing w:after="0" w:line="240" w:lineRule="auto"/>
            </w:pPr>
            <w:r/>
            <w:r>
              <w:rPr>
                <w:rFonts w:ascii="Calibri" w:hAnsi="Calibri"/>
                <w:b w:val="0"/>
                <w:color w:val="1F2933"/>
                <w:sz w:val="18"/>
              </w:rPr>
              <w:t>Inventory</w:t>
            </w:r>
          </w:p>
        </w:tc>
        <w:tc>
          <w:tcPr>
            <w:tcW w:type="dxa" w:w="5400"/>
            <w:shd w:fill="FFFFFF"/>
            <w:vAlign w:val="center"/>
          </w:tcPr>
          <w:p>
            <w:pPr>
              <w:spacing w:after="0" w:line="240" w:lineRule="auto"/>
            </w:pPr>
            <w:r/>
            <w:r>
              <w:rPr>
                <w:rFonts w:ascii="Calibri" w:hAnsi="Calibri"/>
                <w:b w:val="0"/>
                <w:color w:val="1F2933"/>
                <w:sz w:val="18"/>
              </w:rPr>
              <w:t>Component catalog, physical stock, bulk editing, reusable-after-RTO flag</w:t>
            </w:r>
          </w:p>
        </w:tc>
        <w:tc>
          <w:tcPr>
            <w:tcW w:type="dxa" w:w="2448"/>
            <w:shd w:fill="FFFFFF"/>
            <w:vAlign w:val="center"/>
          </w:tcPr>
          <w:p>
            <w:pPr>
              <w:spacing w:after="0" w:line="240" w:lineRule="auto"/>
            </w:pPr>
            <w:r/>
            <w:r>
              <w:rPr>
                <w:rFonts w:ascii="Calibri" w:hAnsi="Calibri"/>
                <w:b w:val="0"/>
                <w:color w:val="1F2933"/>
                <w:sz w:val="18"/>
              </w:rPr>
              <w:t>Warehouse / admin</w:t>
            </w:r>
          </w:p>
        </w:tc>
      </w:tr>
      <w:tr>
        <w:tc>
          <w:tcPr>
            <w:tcW w:type="dxa" w:w="1944"/>
            <w:shd w:fill="F2F4F7"/>
            <w:vAlign w:val="center"/>
          </w:tcPr>
          <w:p>
            <w:pPr>
              <w:spacing w:after="0" w:line="240" w:lineRule="auto"/>
            </w:pPr>
            <w:r/>
            <w:r>
              <w:rPr>
                <w:rFonts w:ascii="Calibri" w:hAnsi="Calibri"/>
                <w:b w:val="0"/>
                <w:color w:val="1F2933"/>
                <w:sz w:val="18"/>
              </w:rPr>
              <w:t>Product setup</w:t>
            </w:r>
          </w:p>
        </w:tc>
        <w:tc>
          <w:tcPr>
            <w:tcW w:type="dxa" w:w="5400"/>
            <w:shd w:fill="F2F4F7"/>
            <w:vAlign w:val="center"/>
          </w:tcPr>
          <w:p>
            <w:pPr>
              <w:spacing w:after="0" w:line="240" w:lineRule="auto"/>
            </w:pPr>
            <w:r/>
            <w:r>
              <w:rPr>
                <w:rFonts w:ascii="Calibri" w:hAnsi="Calibri"/>
                <w:b w:val="0"/>
                <w:color w:val="1F2933"/>
                <w:sz w:val="18"/>
              </w:rPr>
              <w:t>Sellable products, recipes/BOMs, packaging profiles and box rules</w:t>
            </w:r>
          </w:p>
        </w:tc>
        <w:tc>
          <w:tcPr>
            <w:tcW w:type="dxa" w:w="2448"/>
            <w:shd w:fill="F2F4F7"/>
            <w:vAlign w:val="center"/>
          </w:tcPr>
          <w:p>
            <w:pPr>
              <w:spacing w:after="0" w:line="240" w:lineRule="auto"/>
            </w:pPr>
            <w:r/>
            <w:r>
              <w:rPr>
                <w:rFonts w:ascii="Calibri" w:hAnsi="Calibri"/>
                <w:b w:val="0"/>
                <w:color w:val="1F2933"/>
                <w:sz w:val="18"/>
              </w:rPr>
              <w:t>Admin / manager</w:t>
            </w:r>
          </w:p>
        </w:tc>
      </w:tr>
      <w:tr>
        <w:tc>
          <w:tcPr>
            <w:tcW w:type="dxa" w:w="1944"/>
            <w:shd w:fill="FFFFFF"/>
            <w:vAlign w:val="center"/>
          </w:tcPr>
          <w:p>
            <w:pPr>
              <w:spacing w:after="0" w:line="240" w:lineRule="auto"/>
            </w:pPr>
            <w:r/>
            <w:r>
              <w:rPr>
                <w:rFonts w:ascii="Calibri" w:hAnsi="Calibri"/>
                <w:b w:val="0"/>
                <w:color w:val="1F2933"/>
                <w:sz w:val="18"/>
              </w:rPr>
              <w:t>RTO &amp; QC</w:t>
            </w:r>
          </w:p>
        </w:tc>
        <w:tc>
          <w:tcPr>
            <w:tcW w:type="dxa" w:w="5400"/>
            <w:shd w:fill="FFFFFF"/>
            <w:vAlign w:val="center"/>
          </w:tcPr>
          <w:p>
            <w:pPr>
              <w:spacing w:after="0" w:line="240" w:lineRule="auto"/>
            </w:pPr>
            <w:r/>
            <w:r>
              <w:rPr>
                <w:rFonts w:ascii="Calibri" w:hAnsi="Calibri"/>
                <w:b w:val="0"/>
                <w:color w:val="1F2933"/>
                <w:sz w:val="18"/>
              </w:rPr>
              <w:t>Returned-order tasks, good/damaged quantities, restock receipts</w:t>
            </w:r>
          </w:p>
        </w:tc>
        <w:tc>
          <w:tcPr>
            <w:tcW w:type="dxa" w:w="2448"/>
            <w:shd w:fill="FFFFFF"/>
            <w:vAlign w:val="center"/>
          </w:tcPr>
          <w:p>
            <w:pPr>
              <w:spacing w:after="0" w:line="240" w:lineRule="auto"/>
            </w:pPr>
            <w:r/>
            <w:r>
              <w:rPr>
                <w:rFonts w:ascii="Calibri" w:hAnsi="Calibri"/>
                <w:b w:val="0"/>
                <w:color w:val="1F2933"/>
                <w:sz w:val="18"/>
              </w:rPr>
              <w:t>Warehouse / operations</w:t>
            </w:r>
          </w:p>
        </w:tc>
      </w:tr>
      <w:tr>
        <w:tc>
          <w:tcPr>
            <w:tcW w:type="dxa" w:w="1944"/>
            <w:shd w:fill="F2F4F7"/>
            <w:vAlign w:val="center"/>
          </w:tcPr>
          <w:p>
            <w:pPr>
              <w:spacing w:after="0" w:line="240" w:lineRule="auto"/>
            </w:pPr>
            <w:r/>
            <w:r>
              <w:rPr>
                <w:rFonts w:ascii="Calibri" w:hAnsi="Calibri"/>
                <w:b w:val="0"/>
                <w:color w:val="1F2933"/>
                <w:sz w:val="18"/>
              </w:rPr>
              <w:t>Insights + log</w:t>
            </w:r>
          </w:p>
        </w:tc>
        <w:tc>
          <w:tcPr>
            <w:tcW w:type="dxa" w:w="5400"/>
            <w:shd w:fill="F2F4F7"/>
            <w:vAlign w:val="center"/>
          </w:tcPr>
          <w:p>
            <w:pPr>
              <w:spacing w:after="0" w:line="240" w:lineRule="auto"/>
            </w:pPr>
            <w:r/>
            <w:r>
              <w:rPr>
                <w:rFonts w:ascii="Calibri" w:hAnsi="Calibri"/>
                <w:b w:val="0"/>
                <w:color w:val="1F2933"/>
                <w:sz w:val="18"/>
              </w:rPr>
              <w:t>Order performance by date/status and inventory movement history</w:t>
            </w:r>
          </w:p>
        </w:tc>
        <w:tc>
          <w:tcPr>
            <w:tcW w:type="dxa" w:w="2448"/>
            <w:shd w:fill="F2F4F7"/>
            <w:vAlign w:val="center"/>
          </w:tcPr>
          <w:p>
            <w:pPr>
              <w:spacing w:after="0" w:line="240" w:lineRule="auto"/>
            </w:pPr>
            <w:r/>
            <w:r>
              <w:rPr>
                <w:rFonts w:ascii="Calibri" w:hAnsi="Calibri"/>
                <w:b w:val="0"/>
                <w:color w:val="1F2933"/>
                <w:sz w:val="18"/>
              </w:rPr>
              <w:t>Manager / viewer</w:t>
            </w:r>
          </w:p>
        </w:tc>
      </w:tr>
    </w:tbl>
    <w:p>
      <w:pPr>
        <w:pStyle w:val="Heading1"/>
      </w:pPr>
      <w:r>
        <w:t>3. How an order is processed</w:t>
      </w:r>
    </w:p>
    <w:p>
      <w:r>
        <w:t>The sequence below is the intended current behavior assembled from the order routes, integration code, component allocation logic, and UI labels.</w:t>
      </w:r>
    </w:p>
    <w:p>
      <w:pPr>
        <w:pStyle w:val="ListNumber"/>
      </w:pPr>
      <w:r>
        <w:t>Ingest: Shopify creates or updates the canonical order. Duplicate webhook deliveries are claimed through webhook receipts. The order starts in an ingestion/confirmation state.</w:t>
      </w:r>
    </w:p>
    <w:p>
      <w:pPr>
        <w:pStyle w:val="ListNumber"/>
      </w:pPr>
      <w:r>
        <w:t>Normalize and map: order lines are matched to sellable products/SKUs. The system derives the active recipe, packaging profile, and required physical components.</w:t>
      </w:r>
    </w:p>
    <w:p>
      <w:pPr>
        <w:pStyle w:val="ListNumber"/>
      </w:pPr>
      <w:r>
        <w:t>Confirm: if confirmation is required, a confirmation agent records confirmed, callback, unreachable, cancellation, or not-required outcomes. Cancellation requests require manager/admin review.</w:t>
      </w:r>
    </w:p>
    <w:p>
      <w:pPr>
        <w:pStyle w:val="ListNumber"/>
      </w:pPr>
      <w:r>
        <w:t>Check readiness: requirements are allocated against component balances. Missing SKU, missing recipe, missing packaging, component shortage, Shiprocket, AWB, and label issues appear as blockers.</w:t>
      </w:r>
    </w:p>
    <w:p>
      <w:pPr>
        <w:pStyle w:val="ListNumber"/>
      </w:pPr>
      <w:r>
        <w:t>Create shipment: operations validates packaging, creates or syncs the Shiprocket shipment, stores the AWB/courier, and uploads or retrieves the label.</w:t>
      </w:r>
    </w:p>
    <w:p>
      <w:pPr>
        <w:pStyle w:val="ListNumber"/>
      </w:pPr>
      <w:r>
        <w:t>Dispatch and track: warehouse hands over the parcel. Shiprocket updates pickup, transit, out-for-delivery, delivered, exception, and RTO states. Status history is retained.</w:t>
      </w:r>
    </w:p>
    <w:p>
      <w:pPr>
        <w:pStyle w:val="ListNumber"/>
      </w:pPr>
      <w:r>
        <w:t>Close the loop: delivered orders remain closed. RTO orders become return/QC work; good recoverable components are restocked through the component ledger and damaged quantities are recorded separately.</w:t>
      </w:r>
    </w:p>
    <w:p>
      <w:pPr>
        <w:pStyle w:val="Heading1"/>
      </w:pPr>
      <w:r>
        <w:t>4. How inventory is tracked</w:t>
      </w:r>
    </w:p>
    <w:p>
      <w:r>
        <w:t>Physical inventory is component-first, not product-first. A sellable product is a recipe/BOM over components; its buildable quantity is calculated from the most constrained component. Current balance is derived from the component ledger rather than treated as an un-audited editable number.</w:t>
      </w:r>
    </w:p>
    <w:tbl>
      <w:tblPr>
        <w:tblW w:type="dxa" w:w="9792"/>
        <w:jc w:val="left"/>
        <w:tblLayout w:type="fixed"/>
        <w:tblLook w:firstColumn="1" w:firstRow="1" w:lastColumn="0" w:lastRow="0" w:noHBand="0" w:noVBand="1" w:val="04A0"/>
      </w:tblPr>
      <w:tblGrid>
        <w:gridCol w:w="3264"/>
        <w:gridCol w:w="3264"/>
        <w:gridCol w:w="3264"/>
      </w:tblGrid>
      <w:tr>
        <w:tc>
          <w:tcPr>
            <w:tcW w:type="dxa" w:w="2376"/>
            <w:shd w:fill="2E74B5"/>
            <w:vAlign w:val="center"/>
          </w:tcPr>
          <w:p>
            <w:pPr>
              <w:spacing w:after="0" w:line="240" w:lineRule="auto"/>
            </w:pPr>
            <w:r/>
            <w:r>
              <w:rPr>
                <w:rFonts w:ascii="Calibri" w:hAnsi="Calibri"/>
                <w:b/>
                <w:color w:val="FFFFFF"/>
                <w:sz w:val="18"/>
              </w:rPr>
              <w:t>Record</w:t>
            </w:r>
          </w:p>
        </w:tc>
        <w:tc>
          <w:tcPr>
            <w:tcW w:type="dxa" w:w="4824"/>
            <w:shd w:fill="2E74B5"/>
            <w:vAlign w:val="center"/>
          </w:tcPr>
          <w:p>
            <w:pPr>
              <w:spacing w:after="0" w:line="240" w:lineRule="auto"/>
            </w:pPr>
            <w:r/>
            <w:r>
              <w:rPr>
                <w:rFonts w:ascii="Calibri" w:hAnsi="Calibri"/>
                <w:b/>
                <w:color w:val="FFFFFF"/>
                <w:sz w:val="18"/>
              </w:rPr>
              <w:t>Purpose</w:t>
            </w:r>
          </w:p>
        </w:tc>
        <w:tc>
          <w:tcPr>
            <w:tcW w:type="dxa" w:w="2592"/>
            <w:shd w:fill="2E74B5"/>
            <w:vAlign w:val="center"/>
          </w:tcPr>
          <w:p>
            <w:pPr>
              <w:spacing w:after="0" w:line="240" w:lineRule="auto"/>
            </w:pPr>
            <w:r/>
            <w:r>
              <w:rPr>
                <w:rFonts w:ascii="Calibri" w:hAnsi="Calibri"/>
                <w:b/>
                <w:color w:val="FFFFFF"/>
                <w:sz w:val="18"/>
              </w:rPr>
              <w:t>Control rule</w:t>
            </w:r>
          </w:p>
        </w:tc>
      </w:tr>
      <w:tr>
        <w:tc>
          <w:tcPr>
            <w:tcW w:type="dxa" w:w="2376"/>
            <w:shd w:fill="F2F4F7"/>
            <w:vAlign w:val="center"/>
          </w:tcPr>
          <w:p>
            <w:pPr>
              <w:spacing w:after="0" w:line="240" w:lineRule="auto"/>
            </w:pPr>
            <w:r/>
            <w:r>
              <w:rPr>
                <w:rFonts w:ascii="Calibri" w:hAnsi="Calibri"/>
                <w:b w:val="0"/>
                <w:color w:val="1F2933"/>
                <w:sz w:val="18"/>
              </w:rPr>
              <w:t>inventory_components</w:t>
            </w:r>
          </w:p>
        </w:tc>
        <w:tc>
          <w:tcPr>
            <w:tcW w:type="dxa" w:w="4824"/>
            <w:shd w:fill="F2F4F7"/>
            <w:vAlign w:val="center"/>
          </w:tcPr>
          <w:p>
            <w:pPr>
              <w:spacing w:after="0" w:line="240" w:lineRule="auto"/>
            </w:pPr>
            <w:r/>
            <w:r>
              <w:rPr>
                <w:rFonts w:ascii="Calibri" w:hAnsi="Calibri"/>
                <w:b w:val="0"/>
                <w:color w:val="1F2933"/>
                <w:sz w:val="18"/>
              </w:rPr>
              <w:t>SKU, name, type, unit, RTO recoverability, active state</w:t>
            </w:r>
          </w:p>
        </w:tc>
        <w:tc>
          <w:tcPr>
            <w:tcW w:type="dxa" w:w="2592"/>
            <w:shd w:fill="F2F4F7"/>
            <w:vAlign w:val="center"/>
          </w:tcPr>
          <w:p>
            <w:pPr>
              <w:spacing w:after="0" w:line="240" w:lineRule="auto"/>
            </w:pPr>
            <w:r/>
            <w:r>
              <w:rPr>
                <w:rFonts w:ascii="Calibri" w:hAnsi="Calibri"/>
                <w:b w:val="0"/>
                <w:color w:val="1F2933"/>
                <w:sz w:val="18"/>
              </w:rPr>
              <w:t>Archive inactive components; do not delete history</w:t>
            </w:r>
          </w:p>
        </w:tc>
      </w:tr>
      <w:tr>
        <w:tc>
          <w:tcPr>
            <w:tcW w:type="dxa" w:w="2376"/>
            <w:shd w:fill="FFFFFF"/>
            <w:vAlign w:val="center"/>
          </w:tcPr>
          <w:p>
            <w:pPr>
              <w:spacing w:after="0" w:line="240" w:lineRule="auto"/>
            </w:pPr>
            <w:r/>
            <w:r>
              <w:rPr>
                <w:rFonts w:ascii="Calibri" w:hAnsi="Calibri"/>
                <w:b w:val="0"/>
                <w:color w:val="1F2933"/>
                <w:sz w:val="18"/>
              </w:rPr>
              <w:t>component_ledger</w:t>
            </w:r>
          </w:p>
        </w:tc>
        <w:tc>
          <w:tcPr>
            <w:tcW w:type="dxa" w:w="4824"/>
            <w:shd w:fill="FFFFFF"/>
            <w:vAlign w:val="center"/>
          </w:tcPr>
          <w:p>
            <w:pPr>
              <w:spacing w:after="0" w:line="240" w:lineRule="auto"/>
            </w:pPr>
            <w:r/>
            <w:r>
              <w:rPr>
                <w:rFonts w:ascii="Calibri" w:hAnsi="Calibri"/>
                <w:b w:val="0"/>
                <w:color w:val="1F2933"/>
                <w:sz w:val="18"/>
              </w:rPr>
              <w:t>Opening stock, adjustments, sales, shipment usage, RTO returns, damage</w:t>
            </w:r>
          </w:p>
        </w:tc>
        <w:tc>
          <w:tcPr>
            <w:tcW w:type="dxa" w:w="2592"/>
            <w:shd w:fill="FFFFFF"/>
            <w:vAlign w:val="center"/>
          </w:tcPr>
          <w:p>
            <w:pPr>
              <w:spacing w:after="0" w:line="240" w:lineRule="auto"/>
            </w:pPr>
            <w:r/>
            <w:r>
              <w:rPr>
                <w:rFonts w:ascii="Calibri" w:hAnsi="Calibri"/>
                <w:b w:val="0"/>
                <w:color w:val="1F2933"/>
                <w:sz w:val="18"/>
              </w:rPr>
              <w:t>Every change needs quantity, reason, actor, timestamp</w:t>
            </w:r>
          </w:p>
        </w:tc>
      </w:tr>
      <w:tr>
        <w:tc>
          <w:tcPr>
            <w:tcW w:type="dxa" w:w="2376"/>
            <w:shd w:fill="F2F4F7"/>
            <w:vAlign w:val="center"/>
          </w:tcPr>
          <w:p>
            <w:pPr>
              <w:spacing w:after="0" w:line="240" w:lineRule="auto"/>
            </w:pPr>
            <w:r/>
            <w:r>
              <w:rPr>
                <w:rFonts w:ascii="Calibri" w:hAnsi="Calibri"/>
                <w:b w:val="0"/>
                <w:color w:val="1F2933"/>
                <w:sz w:val="18"/>
              </w:rPr>
              <w:t>recipe_versions/items</w:t>
            </w:r>
          </w:p>
        </w:tc>
        <w:tc>
          <w:tcPr>
            <w:tcW w:type="dxa" w:w="4824"/>
            <w:shd w:fill="F2F4F7"/>
            <w:vAlign w:val="center"/>
          </w:tcPr>
          <w:p>
            <w:pPr>
              <w:spacing w:after="0" w:line="240" w:lineRule="auto"/>
            </w:pPr>
            <w:r/>
            <w:r>
              <w:rPr>
                <w:rFonts w:ascii="Calibri" w:hAnsi="Calibri"/>
                <w:b w:val="0"/>
                <w:color w:val="1F2933"/>
                <w:sz w:val="18"/>
              </w:rPr>
              <w:t>Versioned component quantities per sellable product</w:t>
            </w:r>
          </w:p>
        </w:tc>
        <w:tc>
          <w:tcPr>
            <w:tcW w:type="dxa" w:w="2592"/>
            <w:shd w:fill="F2F4F7"/>
            <w:vAlign w:val="center"/>
          </w:tcPr>
          <w:p>
            <w:pPr>
              <w:spacing w:after="0" w:line="240" w:lineRule="auto"/>
            </w:pPr>
            <w:r/>
            <w:r>
              <w:rPr>
                <w:rFonts w:ascii="Calibri" w:hAnsi="Calibri"/>
                <w:b w:val="0"/>
                <w:color w:val="1F2933"/>
                <w:sz w:val="18"/>
              </w:rPr>
              <w:t>Use one active recipe; review changes before applying</w:t>
            </w:r>
          </w:p>
        </w:tc>
      </w:tr>
      <w:tr>
        <w:tc>
          <w:tcPr>
            <w:tcW w:type="dxa" w:w="2376"/>
            <w:shd w:fill="FFFFFF"/>
            <w:vAlign w:val="center"/>
          </w:tcPr>
          <w:p>
            <w:pPr>
              <w:spacing w:after="0" w:line="240" w:lineRule="auto"/>
            </w:pPr>
            <w:r/>
            <w:r>
              <w:rPr>
                <w:rFonts w:ascii="Calibri" w:hAnsi="Calibri"/>
                <w:b w:val="0"/>
                <w:color w:val="1F2933"/>
                <w:sz w:val="18"/>
              </w:rPr>
              <w:t>order_requirements</w:t>
            </w:r>
          </w:p>
        </w:tc>
        <w:tc>
          <w:tcPr>
            <w:tcW w:type="dxa" w:w="4824"/>
            <w:shd w:fill="FFFFFF"/>
            <w:vAlign w:val="center"/>
          </w:tcPr>
          <w:p>
            <w:pPr>
              <w:spacing w:after="0" w:line="240" w:lineRule="auto"/>
            </w:pPr>
            <w:r/>
            <w:r>
              <w:rPr>
                <w:rFonts w:ascii="Calibri" w:hAnsi="Calibri"/>
                <w:b w:val="0"/>
                <w:color w:val="1F2933"/>
                <w:sz w:val="18"/>
              </w:rPr>
              <w:t>Snapshot of components required by an order</w:t>
            </w:r>
          </w:p>
        </w:tc>
        <w:tc>
          <w:tcPr>
            <w:tcW w:type="dxa" w:w="2592"/>
            <w:shd w:fill="FFFFFF"/>
            <w:vAlign w:val="center"/>
          </w:tcPr>
          <w:p>
            <w:pPr>
              <w:spacing w:after="0" w:line="240" w:lineRule="auto"/>
            </w:pPr>
            <w:r/>
            <w:r>
              <w:rPr>
                <w:rFonts w:ascii="Calibri" w:hAnsi="Calibri"/>
                <w:b w:val="0"/>
                <w:color w:val="1F2933"/>
                <w:sz w:val="18"/>
              </w:rPr>
              <w:t>Recalculate after approved mapping/recipe changes</w:t>
            </w:r>
          </w:p>
        </w:tc>
      </w:tr>
      <w:tr>
        <w:tc>
          <w:tcPr>
            <w:tcW w:type="dxa" w:w="2376"/>
            <w:shd w:fill="F2F4F7"/>
            <w:vAlign w:val="center"/>
          </w:tcPr>
          <w:p>
            <w:pPr>
              <w:spacing w:after="0" w:line="240" w:lineRule="auto"/>
            </w:pPr>
            <w:r/>
            <w:r>
              <w:rPr>
                <w:rFonts w:ascii="Calibri" w:hAnsi="Calibri"/>
                <w:b w:val="0"/>
                <w:color w:val="1F2933"/>
                <w:sz w:val="18"/>
              </w:rPr>
              <w:t>rto_qc_lines</w:t>
            </w:r>
          </w:p>
        </w:tc>
        <w:tc>
          <w:tcPr>
            <w:tcW w:type="dxa" w:w="4824"/>
            <w:shd w:fill="F2F4F7"/>
            <w:vAlign w:val="center"/>
          </w:tcPr>
          <w:p>
            <w:pPr>
              <w:spacing w:after="0" w:line="240" w:lineRule="auto"/>
            </w:pPr>
            <w:r/>
            <w:r>
              <w:rPr>
                <w:rFonts w:ascii="Calibri" w:hAnsi="Calibri"/>
                <w:b w:val="0"/>
                <w:color w:val="1F2933"/>
                <w:sz w:val="18"/>
              </w:rPr>
              <w:t>Good/damaged quantities from returned orders</w:t>
            </w:r>
          </w:p>
        </w:tc>
        <w:tc>
          <w:tcPr>
            <w:tcW w:type="dxa" w:w="2592"/>
            <w:shd w:fill="F2F4F7"/>
            <w:vAlign w:val="center"/>
          </w:tcPr>
          <w:p>
            <w:pPr>
              <w:spacing w:after="0" w:line="240" w:lineRule="auto"/>
            </w:pPr>
            <w:r/>
            <w:r>
              <w:rPr>
                <w:rFonts w:ascii="Calibri" w:hAnsi="Calibri"/>
                <w:b w:val="0"/>
                <w:color w:val="1F2933"/>
                <w:sz w:val="18"/>
              </w:rPr>
              <w:t>Restock good recoverable items only after QC</w:t>
            </w:r>
          </w:p>
        </w:tc>
      </w:tr>
    </w:tbl>
    <w:p>
      <w:pPr>
        <w:pStyle w:val="Heading1"/>
      </w:pPr>
      <w:r>
        <w:t>5. Roles and handoffs</w:t>
      </w:r>
    </w:p>
    <w:tbl>
      <w:tblPr>
        <w:tblW w:type="dxa" w:w="9792"/>
        <w:jc w:val="left"/>
        <w:tblLayout w:type="fixed"/>
        <w:tblLook w:firstColumn="1" w:firstRow="1" w:lastColumn="0" w:lastRow="0" w:noHBand="0" w:noVBand="1" w:val="04A0"/>
      </w:tblPr>
      <w:tblGrid>
        <w:gridCol w:w="3264"/>
        <w:gridCol w:w="3264"/>
        <w:gridCol w:w="3264"/>
      </w:tblGrid>
      <w:tr>
        <w:tc>
          <w:tcPr>
            <w:tcW w:type="dxa" w:w="2088"/>
            <w:shd w:fill="2E74B5"/>
            <w:vAlign w:val="center"/>
          </w:tcPr>
          <w:p>
            <w:pPr>
              <w:spacing w:after="0" w:line="240" w:lineRule="auto"/>
            </w:pPr>
            <w:r/>
            <w:r>
              <w:rPr>
                <w:rFonts w:ascii="Calibri" w:hAnsi="Calibri"/>
                <w:b/>
                <w:color w:val="FFFFFF"/>
                <w:sz w:val="18"/>
              </w:rPr>
              <w:t>Role</w:t>
            </w:r>
          </w:p>
        </w:tc>
        <w:tc>
          <w:tcPr>
            <w:tcW w:type="dxa" w:w="4968"/>
            <w:shd w:fill="2E74B5"/>
            <w:vAlign w:val="center"/>
          </w:tcPr>
          <w:p>
            <w:pPr>
              <w:spacing w:after="0" w:line="240" w:lineRule="auto"/>
            </w:pPr>
            <w:r/>
            <w:r>
              <w:rPr>
                <w:rFonts w:ascii="Calibri" w:hAnsi="Calibri"/>
                <w:b/>
                <w:color w:val="FFFFFF"/>
                <w:sz w:val="18"/>
              </w:rPr>
              <w:t>Owns</w:t>
            </w:r>
          </w:p>
        </w:tc>
        <w:tc>
          <w:tcPr>
            <w:tcW w:type="dxa" w:w="2736"/>
            <w:shd w:fill="2E74B5"/>
            <w:vAlign w:val="center"/>
          </w:tcPr>
          <w:p>
            <w:pPr>
              <w:spacing w:after="0" w:line="240" w:lineRule="auto"/>
            </w:pPr>
            <w:r/>
            <w:r>
              <w:rPr>
                <w:rFonts w:ascii="Calibri" w:hAnsi="Calibri"/>
                <w:b/>
                <w:color w:val="FFFFFF"/>
                <w:sz w:val="18"/>
              </w:rPr>
              <w:t>Handoff / escalation</w:t>
            </w:r>
          </w:p>
        </w:tc>
      </w:tr>
      <w:tr>
        <w:tc>
          <w:tcPr>
            <w:tcW w:type="dxa" w:w="2088"/>
            <w:shd w:fill="F2F4F7"/>
            <w:vAlign w:val="center"/>
          </w:tcPr>
          <w:p>
            <w:pPr>
              <w:spacing w:after="0" w:line="240" w:lineRule="auto"/>
            </w:pPr>
            <w:r/>
            <w:r>
              <w:rPr>
                <w:rFonts w:ascii="Calibri" w:hAnsi="Calibri"/>
                <w:b w:val="0"/>
                <w:color w:val="1F2933"/>
                <w:sz w:val="18"/>
              </w:rPr>
              <w:t>Confirmation agent</w:t>
            </w:r>
          </w:p>
        </w:tc>
        <w:tc>
          <w:tcPr>
            <w:tcW w:type="dxa" w:w="4968"/>
            <w:shd w:fill="F2F4F7"/>
            <w:vAlign w:val="center"/>
          </w:tcPr>
          <w:p>
            <w:pPr>
              <w:spacing w:after="0" w:line="240" w:lineRule="auto"/>
            </w:pPr>
            <w:r/>
            <w:r>
              <w:rPr>
                <w:rFonts w:ascii="Calibri" w:hAnsi="Calibri"/>
                <w:b w:val="0"/>
                <w:color w:val="1F2933"/>
                <w:sz w:val="18"/>
              </w:rPr>
              <w:t>Customer confirmation outcomes and callbacks</w:t>
            </w:r>
          </w:p>
        </w:tc>
        <w:tc>
          <w:tcPr>
            <w:tcW w:type="dxa" w:w="2736"/>
            <w:shd w:fill="F2F4F7"/>
            <w:vAlign w:val="center"/>
          </w:tcPr>
          <w:p>
            <w:pPr>
              <w:spacing w:after="0" w:line="240" w:lineRule="auto"/>
            </w:pPr>
            <w:r/>
            <w:r>
              <w:rPr>
                <w:rFonts w:ascii="Calibri" w:hAnsi="Calibri"/>
                <w:b w:val="0"/>
                <w:color w:val="1F2933"/>
                <w:sz w:val="18"/>
              </w:rPr>
              <w:t>Cancellation requests and unreachable backlog</w:t>
            </w:r>
          </w:p>
        </w:tc>
      </w:tr>
      <w:tr>
        <w:tc>
          <w:tcPr>
            <w:tcW w:type="dxa" w:w="2088"/>
            <w:shd w:fill="FFFFFF"/>
            <w:vAlign w:val="center"/>
          </w:tcPr>
          <w:p>
            <w:pPr>
              <w:spacing w:after="0" w:line="240" w:lineRule="auto"/>
            </w:pPr>
            <w:r/>
            <w:r>
              <w:rPr>
                <w:rFonts w:ascii="Calibri" w:hAnsi="Calibri"/>
                <w:b w:val="0"/>
                <w:color w:val="1F2933"/>
                <w:sz w:val="18"/>
              </w:rPr>
              <w:t>Operations</w:t>
            </w:r>
          </w:p>
        </w:tc>
        <w:tc>
          <w:tcPr>
            <w:tcW w:type="dxa" w:w="4968"/>
            <w:shd w:fill="FFFFFF"/>
            <w:vAlign w:val="center"/>
          </w:tcPr>
          <w:p>
            <w:pPr>
              <w:spacing w:after="0" w:line="240" w:lineRule="auto"/>
            </w:pPr>
            <w:r/>
            <w:r>
              <w:rPr>
                <w:rFonts w:ascii="Calibri" w:hAnsi="Calibri"/>
                <w:b w:val="0"/>
                <w:color w:val="1F2933"/>
                <w:sz w:val="18"/>
              </w:rPr>
              <w:t>Order blockers, readiness, shipment actions</w:t>
            </w:r>
          </w:p>
        </w:tc>
        <w:tc>
          <w:tcPr>
            <w:tcW w:type="dxa" w:w="2736"/>
            <w:shd w:fill="FFFFFF"/>
            <w:vAlign w:val="center"/>
          </w:tcPr>
          <w:p>
            <w:pPr>
              <w:spacing w:after="0" w:line="240" w:lineRule="auto"/>
            </w:pPr>
            <w:r/>
            <w:r>
              <w:rPr>
                <w:rFonts w:ascii="Calibri" w:hAnsi="Calibri"/>
                <w:b w:val="0"/>
                <w:color w:val="1F2933"/>
                <w:sz w:val="18"/>
              </w:rPr>
              <w:t>Mapping, shortage, packaging, integration failures</w:t>
            </w:r>
          </w:p>
        </w:tc>
      </w:tr>
      <w:tr>
        <w:tc>
          <w:tcPr>
            <w:tcW w:type="dxa" w:w="2088"/>
            <w:shd w:fill="F2F4F7"/>
            <w:vAlign w:val="center"/>
          </w:tcPr>
          <w:p>
            <w:pPr>
              <w:spacing w:after="0" w:line="240" w:lineRule="auto"/>
            </w:pPr>
            <w:r/>
            <w:r>
              <w:rPr>
                <w:rFonts w:ascii="Calibri" w:hAnsi="Calibri"/>
                <w:b w:val="0"/>
                <w:color w:val="1F2933"/>
                <w:sz w:val="18"/>
              </w:rPr>
              <w:t>Warehouse</w:t>
            </w:r>
          </w:p>
        </w:tc>
        <w:tc>
          <w:tcPr>
            <w:tcW w:type="dxa" w:w="4968"/>
            <w:shd w:fill="F2F4F7"/>
            <w:vAlign w:val="center"/>
          </w:tcPr>
          <w:p>
            <w:pPr>
              <w:spacing w:after="0" w:line="240" w:lineRule="auto"/>
            </w:pPr>
            <w:r/>
            <w:r>
              <w:rPr>
                <w:rFonts w:ascii="Calibri" w:hAnsi="Calibri"/>
                <w:b w:val="0"/>
                <w:color w:val="1F2933"/>
                <w:sz w:val="18"/>
              </w:rPr>
              <w:t>Physical counts, picking/packing, labels, RTO QC</w:t>
            </w:r>
          </w:p>
        </w:tc>
        <w:tc>
          <w:tcPr>
            <w:tcW w:type="dxa" w:w="2736"/>
            <w:shd w:fill="F2F4F7"/>
            <w:vAlign w:val="center"/>
          </w:tcPr>
          <w:p>
            <w:pPr>
              <w:spacing w:after="0" w:line="240" w:lineRule="auto"/>
            </w:pPr>
            <w:r/>
            <w:r>
              <w:rPr>
                <w:rFonts w:ascii="Calibri" w:hAnsi="Calibri"/>
                <w:b w:val="0"/>
                <w:color w:val="1F2933"/>
                <w:sz w:val="18"/>
              </w:rPr>
              <w:t>Count variance, damaged returns, missing parcels</w:t>
            </w:r>
          </w:p>
        </w:tc>
      </w:tr>
      <w:tr>
        <w:tc>
          <w:tcPr>
            <w:tcW w:type="dxa" w:w="2088"/>
            <w:shd w:fill="FFFFFF"/>
            <w:vAlign w:val="center"/>
          </w:tcPr>
          <w:p>
            <w:pPr>
              <w:spacing w:after="0" w:line="240" w:lineRule="auto"/>
            </w:pPr>
            <w:r/>
            <w:r>
              <w:rPr>
                <w:rFonts w:ascii="Calibri" w:hAnsi="Calibri"/>
                <w:b w:val="0"/>
                <w:color w:val="1F2933"/>
                <w:sz w:val="18"/>
              </w:rPr>
              <w:t>Manager</w:t>
            </w:r>
          </w:p>
        </w:tc>
        <w:tc>
          <w:tcPr>
            <w:tcW w:type="dxa" w:w="4968"/>
            <w:shd w:fill="FFFFFF"/>
            <w:vAlign w:val="center"/>
          </w:tcPr>
          <w:p>
            <w:pPr>
              <w:spacing w:after="0" w:line="240" w:lineRule="auto"/>
            </w:pPr>
            <w:r/>
            <w:r>
              <w:rPr>
                <w:rFonts w:ascii="Calibri" w:hAnsi="Calibri"/>
                <w:b w:val="0"/>
                <w:color w:val="1F2933"/>
                <w:sz w:val="18"/>
              </w:rPr>
              <w:t>Queue health, approvals, reconciliation, policy</w:t>
            </w:r>
          </w:p>
        </w:tc>
        <w:tc>
          <w:tcPr>
            <w:tcW w:type="dxa" w:w="2736"/>
            <w:shd w:fill="FFFFFF"/>
            <w:vAlign w:val="center"/>
          </w:tcPr>
          <w:p>
            <w:pPr>
              <w:spacing w:after="0" w:line="240" w:lineRule="auto"/>
            </w:pPr>
            <w:r/>
            <w:r>
              <w:rPr>
                <w:rFonts w:ascii="Calibri" w:hAnsi="Calibri"/>
                <w:b w:val="0"/>
                <w:color w:val="1F2933"/>
                <w:sz w:val="18"/>
              </w:rPr>
              <w:t>Cancellations, recipe changes, corrective adjustments</w:t>
            </w:r>
          </w:p>
        </w:tc>
      </w:tr>
      <w:tr>
        <w:tc>
          <w:tcPr>
            <w:tcW w:type="dxa" w:w="2088"/>
            <w:shd w:fill="F2F4F7"/>
            <w:vAlign w:val="center"/>
          </w:tcPr>
          <w:p>
            <w:pPr>
              <w:spacing w:after="0" w:line="240" w:lineRule="auto"/>
            </w:pPr>
            <w:r/>
            <w:r>
              <w:rPr>
                <w:rFonts w:ascii="Calibri" w:hAnsi="Calibri"/>
                <w:b w:val="0"/>
                <w:color w:val="1F2933"/>
                <w:sz w:val="18"/>
              </w:rPr>
              <w:t>Admin</w:t>
            </w:r>
          </w:p>
        </w:tc>
        <w:tc>
          <w:tcPr>
            <w:tcW w:type="dxa" w:w="4968"/>
            <w:shd w:fill="F2F4F7"/>
            <w:vAlign w:val="center"/>
          </w:tcPr>
          <w:p>
            <w:pPr>
              <w:spacing w:after="0" w:line="240" w:lineRule="auto"/>
            </w:pPr>
            <w:r/>
            <w:r>
              <w:rPr>
                <w:rFonts w:ascii="Calibri" w:hAnsi="Calibri"/>
                <w:b w:val="0"/>
                <w:color w:val="1F2933"/>
                <w:sz w:val="18"/>
              </w:rPr>
              <w:t>Catalog, roles, integrations, system controls</w:t>
            </w:r>
          </w:p>
        </w:tc>
        <w:tc>
          <w:tcPr>
            <w:tcW w:type="dxa" w:w="2736"/>
            <w:shd w:fill="F2F4F7"/>
            <w:vAlign w:val="center"/>
          </w:tcPr>
          <w:p>
            <w:pPr>
              <w:spacing w:after="0" w:line="240" w:lineRule="auto"/>
            </w:pPr>
            <w:r/>
            <w:r>
              <w:rPr>
                <w:rFonts w:ascii="Calibri" w:hAnsi="Calibri"/>
                <w:b w:val="0"/>
                <w:color w:val="1F2933"/>
                <w:sz w:val="18"/>
              </w:rPr>
              <w:t>Provider credentials, sync health, audit review</w:t>
            </w:r>
          </w:p>
        </w:tc>
      </w:tr>
    </w:tbl>
    <w:p>
      <w:pPr>
        <w:pStyle w:val="Heading1"/>
      </w:pPr>
      <w:r>
        <w:t>6. UI audit and target format</w:t>
      </w:r>
    </w:p>
    <w:p>
      <w:r>
        <w:t>The application has two related but visually divergent surfaces. Inventory contained dense field groups and wide tables; legacy light-only declarations reduce contrast in dark mode. Operations already had a stronger dark-mode token layer, but the inventory-first workspace did not expose the same explicit theme control.</w:t>
      </w:r>
    </w:p>
    <w:p>
      <w:pPr>
        <w:pStyle w:val="Heading2"/>
      </w:pPr>
      <w:r>
        <w:t>Implemented in this pass</w:t>
      </w:r>
    </w:p>
    <w:p>
      <w:pPr>
        <w:pStyle w:val="ListBullet"/>
      </w:pPr>
      <w:r>
        <w:t>Added an inventory theme toggle using the same control language as Operations.</w:t>
      </w:r>
    </w:p>
    <w:p>
      <w:pPr>
        <w:pStyle w:val="ListBullet"/>
      </w:pPr>
      <w:r>
        <w:t>Aligned both workspaces to shared surface, line, panel, input, hover, success, warning, danger, and overlay tokens.</w:t>
      </w:r>
    </w:p>
    <w:p>
      <w:pPr>
        <w:pStyle w:val="ListBullet"/>
      </w:pPr>
      <w:r>
        <w:t>Contained tables inside their cards with horizontal scrolling, wrapped cell text, and mobile width guardrails.</w:t>
      </w:r>
    </w:p>
    <w:p>
      <w:pPr>
        <w:pStyle w:val="ListBullet"/>
      </w:pPr>
      <w:r>
        <w:t>Reduced page-level overflow risk by keeping shell, workspace, cards, and action/search regions min-width safe.</w:t>
      </w:r>
    </w:p>
    <w:p>
      <w:pPr>
        <w:pStyle w:val="Heading2"/>
      </w:pPr>
      <w:r>
        <w:t>Target table pattern</w:t>
      </w:r>
    </w:p>
    <w:tbl>
      <w:tblPr>
        <w:tblW w:type="dxa" w:w="9792"/>
        <w:jc w:val="left"/>
        <w:tblLayout w:type="fixed"/>
        <w:tblLook w:firstColumn="1" w:firstRow="1" w:lastColumn="0" w:lastRow="0" w:noHBand="0" w:noVBand="1" w:val="04A0"/>
      </w:tblPr>
      <w:tblGrid>
        <w:gridCol w:w="4896"/>
        <w:gridCol w:w="4896"/>
      </w:tblGrid>
      <w:tr>
        <w:tc>
          <w:tcPr>
            <w:tcW w:type="dxa" w:w="2232"/>
            <w:shd w:fill="2E74B5"/>
            <w:vAlign w:val="center"/>
          </w:tcPr>
          <w:p>
            <w:pPr>
              <w:spacing w:after="0" w:line="240" w:lineRule="auto"/>
            </w:pPr>
            <w:r/>
            <w:r>
              <w:rPr>
                <w:rFonts w:ascii="Calibri" w:hAnsi="Calibri"/>
                <w:b/>
                <w:color w:val="FFFFFF"/>
                <w:sz w:val="18"/>
              </w:rPr>
              <w:t>Table element</w:t>
            </w:r>
          </w:p>
        </w:tc>
        <w:tc>
          <w:tcPr>
            <w:tcW w:type="dxa" w:w="7560"/>
            <w:shd w:fill="2E74B5"/>
            <w:vAlign w:val="center"/>
          </w:tcPr>
          <w:p>
            <w:pPr>
              <w:spacing w:after="0" w:line="240" w:lineRule="auto"/>
            </w:pPr>
            <w:r/>
            <w:r>
              <w:rPr>
                <w:rFonts w:ascii="Calibri" w:hAnsi="Calibri"/>
                <w:b/>
                <w:color w:val="FFFFFF"/>
                <w:sz w:val="18"/>
              </w:rPr>
              <w:t>Target behavior</w:t>
            </w:r>
          </w:p>
        </w:tc>
      </w:tr>
      <w:tr>
        <w:tc>
          <w:tcPr>
            <w:tcW w:type="dxa" w:w="2232"/>
            <w:shd w:fill="F2F4F7"/>
            <w:vAlign w:val="center"/>
          </w:tcPr>
          <w:p>
            <w:pPr>
              <w:spacing w:after="0" w:line="240" w:lineRule="auto"/>
            </w:pPr>
            <w:r/>
            <w:r>
              <w:rPr>
                <w:rFonts w:ascii="Calibri" w:hAnsi="Calibri"/>
                <w:b w:val="0"/>
                <w:color w:val="1F2933"/>
                <w:sz w:val="18"/>
              </w:rPr>
              <w:t>Header</w:t>
            </w:r>
          </w:p>
        </w:tc>
        <w:tc>
          <w:tcPr>
            <w:tcW w:type="dxa" w:w="7560"/>
            <w:shd w:fill="F2F4F7"/>
            <w:vAlign w:val="center"/>
          </w:tcPr>
          <w:p>
            <w:pPr>
              <w:spacing w:after="0" w:line="240" w:lineRule="auto"/>
            </w:pPr>
            <w:r/>
            <w:r>
              <w:rPr>
                <w:rFonts w:ascii="Calibri" w:hAnsi="Calibri"/>
                <w:b w:val="0"/>
                <w:color w:val="1F2933"/>
                <w:sz w:val="18"/>
              </w:rPr>
              <w:t>Quiet high-contrast header, short labels, sticky where table is long</w:t>
            </w:r>
          </w:p>
        </w:tc>
      </w:tr>
      <w:tr>
        <w:tc>
          <w:tcPr>
            <w:tcW w:type="dxa" w:w="2232"/>
            <w:shd w:fill="FFFFFF"/>
            <w:vAlign w:val="center"/>
          </w:tcPr>
          <w:p>
            <w:pPr>
              <w:spacing w:after="0" w:line="240" w:lineRule="auto"/>
            </w:pPr>
            <w:r/>
            <w:r>
              <w:rPr>
                <w:rFonts w:ascii="Calibri" w:hAnsi="Calibri"/>
                <w:b w:val="0"/>
                <w:color w:val="1F2933"/>
                <w:sz w:val="18"/>
              </w:rPr>
              <w:t>Primary cell</w:t>
            </w:r>
          </w:p>
        </w:tc>
        <w:tc>
          <w:tcPr>
            <w:tcW w:type="dxa" w:w="7560"/>
            <w:shd w:fill="FFFFFF"/>
            <w:vAlign w:val="center"/>
          </w:tcPr>
          <w:p>
            <w:pPr>
              <w:spacing w:after="0" w:line="240" w:lineRule="auto"/>
            </w:pPr>
            <w:r/>
            <w:r>
              <w:rPr>
                <w:rFonts w:ascii="Calibri" w:hAnsi="Calibri"/>
                <w:b w:val="0"/>
                <w:color w:val="1F2933"/>
                <w:sz w:val="18"/>
              </w:rPr>
              <w:t>Strong identifier on first line; SKU/status/detail below</w:t>
            </w:r>
          </w:p>
        </w:tc>
      </w:tr>
      <w:tr>
        <w:tc>
          <w:tcPr>
            <w:tcW w:type="dxa" w:w="2232"/>
            <w:shd w:fill="F2F4F7"/>
            <w:vAlign w:val="center"/>
          </w:tcPr>
          <w:p>
            <w:pPr>
              <w:spacing w:after="0" w:line="240" w:lineRule="auto"/>
            </w:pPr>
            <w:r/>
            <w:r>
              <w:rPr>
                <w:rFonts w:ascii="Calibri" w:hAnsi="Calibri"/>
                <w:b w:val="0"/>
                <w:color w:val="1F2933"/>
                <w:sz w:val="18"/>
              </w:rPr>
              <w:t>Status</w:t>
            </w:r>
          </w:p>
        </w:tc>
        <w:tc>
          <w:tcPr>
            <w:tcW w:type="dxa" w:w="7560"/>
            <w:shd w:fill="F2F4F7"/>
            <w:vAlign w:val="center"/>
          </w:tcPr>
          <w:p>
            <w:pPr>
              <w:spacing w:after="0" w:line="240" w:lineRule="auto"/>
            </w:pPr>
            <w:r/>
            <w:r>
              <w:rPr>
                <w:rFonts w:ascii="Calibri" w:hAnsi="Calibri"/>
                <w:b w:val="0"/>
                <w:color w:val="1F2933"/>
                <w:sz w:val="18"/>
              </w:rPr>
              <w:t>One compact semantic pill; avoid verbose sentence status in every row</w:t>
            </w:r>
          </w:p>
        </w:tc>
      </w:tr>
      <w:tr>
        <w:tc>
          <w:tcPr>
            <w:tcW w:type="dxa" w:w="2232"/>
            <w:shd w:fill="FFFFFF"/>
            <w:vAlign w:val="center"/>
          </w:tcPr>
          <w:p>
            <w:pPr>
              <w:spacing w:after="0" w:line="240" w:lineRule="auto"/>
            </w:pPr>
            <w:r/>
            <w:r>
              <w:rPr>
                <w:rFonts w:ascii="Calibri" w:hAnsi="Calibri"/>
                <w:b w:val="0"/>
                <w:color w:val="1F2933"/>
                <w:sz w:val="18"/>
              </w:rPr>
              <w:t>Actions</w:t>
            </w:r>
          </w:p>
        </w:tc>
        <w:tc>
          <w:tcPr>
            <w:tcW w:type="dxa" w:w="7560"/>
            <w:shd w:fill="FFFFFF"/>
            <w:vAlign w:val="center"/>
          </w:tcPr>
          <w:p>
            <w:pPr>
              <w:spacing w:after="0" w:line="240" w:lineRule="auto"/>
            </w:pPr>
            <w:r/>
            <w:r>
              <w:rPr>
                <w:rFonts w:ascii="Calibri" w:hAnsi="Calibri"/>
                <w:b w:val="0"/>
                <w:color w:val="1F2933"/>
                <w:sz w:val="18"/>
              </w:rPr>
              <w:t>One primary row action plus overflow/menu for secondary actions</w:t>
            </w:r>
          </w:p>
        </w:tc>
      </w:tr>
      <w:tr>
        <w:tc>
          <w:tcPr>
            <w:tcW w:type="dxa" w:w="2232"/>
            <w:shd w:fill="F2F4F7"/>
            <w:vAlign w:val="center"/>
          </w:tcPr>
          <w:p>
            <w:pPr>
              <w:spacing w:after="0" w:line="240" w:lineRule="auto"/>
            </w:pPr>
            <w:r/>
            <w:r>
              <w:rPr>
                <w:rFonts w:ascii="Calibri" w:hAnsi="Calibri"/>
                <w:b w:val="0"/>
                <w:color w:val="1F2933"/>
                <w:sz w:val="18"/>
              </w:rPr>
              <w:t>Overflow</w:t>
            </w:r>
          </w:p>
        </w:tc>
        <w:tc>
          <w:tcPr>
            <w:tcW w:type="dxa" w:w="7560"/>
            <w:shd w:fill="F2F4F7"/>
            <w:vAlign w:val="center"/>
          </w:tcPr>
          <w:p>
            <w:pPr>
              <w:spacing w:after="0" w:line="240" w:lineRule="auto"/>
            </w:pPr>
            <w:r/>
            <w:r>
              <w:rPr>
                <w:rFonts w:ascii="Calibri" w:hAnsi="Calibri"/>
                <w:b w:val="0"/>
                <w:color w:val="1F2933"/>
                <w:sz w:val="18"/>
              </w:rPr>
              <w:t>Scroll inside the card; never expand the entire dashboard canvas</w:t>
            </w:r>
          </w:p>
        </w:tc>
      </w:tr>
      <w:tr>
        <w:tc>
          <w:tcPr>
            <w:tcW w:type="dxa" w:w="2232"/>
            <w:shd w:fill="FFFFFF"/>
            <w:vAlign w:val="center"/>
          </w:tcPr>
          <w:p>
            <w:pPr>
              <w:spacing w:after="0" w:line="240" w:lineRule="auto"/>
            </w:pPr>
            <w:r/>
            <w:r>
              <w:rPr>
                <w:rFonts w:ascii="Calibri" w:hAnsi="Calibri"/>
                <w:b w:val="0"/>
                <w:color w:val="1F2933"/>
                <w:sz w:val="18"/>
              </w:rPr>
              <w:t>Mobile</w:t>
            </w:r>
          </w:p>
        </w:tc>
        <w:tc>
          <w:tcPr>
            <w:tcW w:type="dxa" w:w="7560"/>
            <w:shd w:fill="FFFFFF"/>
            <w:vAlign w:val="center"/>
          </w:tcPr>
          <w:p>
            <w:pPr>
              <w:spacing w:after="0" w:line="240" w:lineRule="auto"/>
            </w:pPr>
            <w:r/>
            <w:r>
              <w:rPr>
                <w:rFonts w:ascii="Calibri" w:hAnsi="Calibri"/>
                <w:b w:val="0"/>
                <w:color w:val="1F2933"/>
                <w:sz w:val="18"/>
              </w:rPr>
              <w:t>Reduce columns or provide row detail; preserve identifier and status first</w:t>
            </w:r>
          </w:p>
        </w:tc>
      </w:tr>
    </w:tbl>
    <w:p>
      <w:pPr>
        <w:pStyle w:val="Heading1"/>
      </w:pPr>
      <w:r>
        <w:t>7. Operating control plan</w:t>
      </w:r>
    </w:p>
    <w:p>
      <w:r>
        <w:t>The plan below keeps the system in check through ownership, cadence, thresholds, and evidence. The dashboard should show these as queues and KPI cards, while the operating discipline should also exist as a repeatable checklist.</w:t>
      </w:r>
    </w:p>
    <w:tbl>
      <w:tblPr>
        <w:tblW w:type="dxa" w:w="9792"/>
        <w:jc w:val="left"/>
        <w:tblLayout w:type="fixed"/>
        <w:tblLook w:firstColumn="1" w:firstRow="1" w:lastColumn="0" w:lastRow="0" w:noHBand="0" w:noVBand="1" w:val="04A0"/>
      </w:tblPr>
      <w:tblGrid>
        <w:gridCol w:w="3264"/>
        <w:gridCol w:w="3264"/>
        <w:gridCol w:w="3264"/>
      </w:tblGrid>
      <w:tr>
        <w:tc>
          <w:tcPr>
            <w:tcW w:type="dxa" w:w="1512"/>
            <w:shd w:fill="2E74B5"/>
            <w:vAlign w:val="center"/>
          </w:tcPr>
          <w:p>
            <w:pPr>
              <w:spacing w:after="0" w:line="240" w:lineRule="auto"/>
            </w:pPr>
            <w:r/>
            <w:r>
              <w:rPr>
                <w:rFonts w:ascii="Calibri" w:hAnsi="Calibri"/>
                <w:b/>
                <w:color w:val="FFFFFF"/>
                <w:sz w:val="18"/>
              </w:rPr>
              <w:t>Cadence</w:t>
            </w:r>
          </w:p>
        </w:tc>
        <w:tc>
          <w:tcPr>
            <w:tcW w:type="dxa" w:w="5040"/>
            <w:shd w:fill="2E74B5"/>
            <w:vAlign w:val="center"/>
          </w:tcPr>
          <w:p>
            <w:pPr>
              <w:spacing w:after="0" w:line="240" w:lineRule="auto"/>
            </w:pPr>
            <w:r/>
            <w:r>
              <w:rPr>
                <w:rFonts w:ascii="Calibri" w:hAnsi="Calibri"/>
                <w:b/>
                <w:color w:val="FFFFFF"/>
                <w:sz w:val="18"/>
              </w:rPr>
              <w:t>Checks</w:t>
            </w:r>
          </w:p>
        </w:tc>
        <w:tc>
          <w:tcPr>
            <w:tcW w:type="dxa" w:w="3240"/>
            <w:shd w:fill="2E74B5"/>
            <w:vAlign w:val="center"/>
          </w:tcPr>
          <w:p>
            <w:pPr>
              <w:spacing w:after="0" w:line="240" w:lineRule="auto"/>
            </w:pPr>
            <w:r/>
            <w:r>
              <w:rPr>
                <w:rFonts w:ascii="Calibri" w:hAnsi="Calibri"/>
                <w:b/>
                <w:color w:val="FFFFFF"/>
                <w:sz w:val="18"/>
              </w:rPr>
              <w:t>Evidence / threshold</w:t>
            </w:r>
          </w:p>
        </w:tc>
      </w:tr>
      <w:tr>
        <w:tc>
          <w:tcPr>
            <w:tcW w:type="dxa" w:w="1512"/>
            <w:shd w:fill="F2F4F7"/>
            <w:vAlign w:val="center"/>
          </w:tcPr>
          <w:p>
            <w:pPr>
              <w:spacing w:after="0" w:line="240" w:lineRule="auto"/>
            </w:pPr>
            <w:r/>
            <w:r>
              <w:rPr>
                <w:rFonts w:ascii="Calibri" w:hAnsi="Calibri"/>
                <w:b w:val="0"/>
                <w:color w:val="1F2933"/>
                <w:sz w:val="18"/>
              </w:rPr>
              <w:t>Every shift</w:t>
            </w:r>
          </w:p>
        </w:tc>
        <w:tc>
          <w:tcPr>
            <w:tcW w:type="dxa" w:w="5040"/>
            <w:shd w:fill="F2F4F7"/>
            <w:vAlign w:val="center"/>
          </w:tcPr>
          <w:p>
            <w:pPr>
              <w:spacing w:after="0" w:line="240" w:lineRule="auto"/>
            </w:pPr>
            <w:r/>
            <w:r>
              <w:rPr>
                <w:rFonts w:ascii="Calibri" w:hAnsi="Calibri"/>
                <w:b w:val="0"/>
                <w:color w:val="1F2933"/>
                <w:sz w:val="18"/>
              </w:rPr>
              <w:t>Review confirmation backlog, unprocessed orders, shortages, AWB/label blockers, pickup risks</w:t>
            </w:r>
          </w:p>
        </w:tc>
        <w:tc>
          <w:tcPr>
            <w:tcW w:type="dxa" w:w="3240"/>
            <w:shd w:fill="F2F4F7"/>
            <w:vAlign w:val="center"/>
          </w:tcPr>
          <w:p>
            <w:pPr>
              <w:spacing w:after="0" w:line="240" w:lineRule="auto"/>
            </w:pPr>
            <w:r/>
            <w:r>
              <w:rPr>
                <w:rFonts w:ascii="Calibri" w:hAnsi="Calibri"/>
                <w:b w:val="0"/>
                <w:color w:val="1F2933"/>
                <w:sz w:val="18"/>
              </w:rPr>
              <w:t>No aged blocker without owner; record reason and next action</w:t>
            </w:r>
          </w:p>
        </w:tc>
      </w:tr>
      <w:tr>
        <w:tc>
          <w:tcPr>
            <w:tcW w:type="dxa" w:w="1512"/>
            <w:shd w:fill="FFFFFF"/>
            <w:vAlign w:val="center"/>
          </w:tcPr>
          <w:p>
            <w:pPr>
              <w:spacing w:after="0" w:line="240" w:lineRule="auto"/>
            </w:pPr>
            <w:r/>
            <w:r>
              <w:rPr>
                <w:rFonts w:ascii="Calibri" w:hAnsi="Calibri"/>
                <w:b w:val="0"/>
                <w:color w:val="1F2933"/>
                <w:sz w:val="18"/>
              </w:rPr>
              <w:t>Daily</w:t>
            </w:r>
          </w:p>
        </w:tc>
        <w:tc>
          <w:tcPr>
            <w:tcW w:type="dxa" w:w="5040"/>
            <w:shd w:fill="FFFFFF"/>
            <w:vAlign w:val="center"/>
          </w:tcPr>
          <w:p>
            <w:pPr>
              <w:spacing w:after="0" w:line="240" w:lineRule="auto"/>
            </w:pPr>
            <w:r/>
            <w:r>
              <w:rPr>
                <w:rFonts w:ascii="Calibri" w:hAnsi="Calibri"/>
                <w:b w:val="0"/>
                <w:color w:val="1F2933"/>
                <w:sz w:val="18"/>
              </w:rPr>
              <w:t>Cycle-count fast movers and zero/negative available components; reconcile dispatches to ledger</w:t>
            </w:r>
          </w:p>
        </w:tc>
        <w:tc>
          <w:tcPr>
            <w:tcW w:type="dxa" w:w="3240"/>
            <w:shd w:fill="FFFFFF"/>
            <w:vAlign w:val="center"/>
          </w:tcPr>
          <w:p>
            <w:pPr>
              <w:spacing w:after="0" w:line="240" w:lineRule="auto"/>
            </w:pPr>
            <w:r/>
            <w:r>
              <w:rPr>
                <w:rFonts w:ascii="Calibri" w:hAnsi="Calibri"/>
                <w:b w:val="0"/>
                <w:color w:val="1F2933"/>
                <w:sz w:val="18"/>
              </w:rPr>
              <w:t>Variance logged same day; unexplained variance escalated</w:t>
            </w:r>
          </w:p>
        </w:tc>
      </w:tr>
      <w:tr>
        <w:tc>
          <w:tcPr>
            <w:tcW w:type="dxa" w:w="1512"/>
            <w:shd w:fill="F2F4F7"/>
            <w:vAlign w:val="center"/>
          </w:tcPr>
          <w:p>
            <w:pPr>
              <w:spacing w:after="0" w:line="240" w:lineRule="auto"/>
            </w:pPr>
            <w:r/>
            <w:r>
              <w:rPr>
                <w:rFonts w:ascii="Calibri" w:hAnsi="Calibri"/>
                <w:b w:val="0"/>
                <w:color w:val="1F2933"/>
                <w:sz w:val="18"/>
              </w:rPr>
              <w:t>Daily</w:t>
            </w:r>
          </w:p>
        </w:tc>
        <w:tc>
          <w:tcPr>
            <w:tcW w:type="dxa" w:w="5040"/>
            <w:shd w:fill="F2F4F7"/>
            <w:vAlign w:val="center"/>
          </w:tcPr>
          <w:p>
            <w:pPr>
              <w:spacing w:after="0" w:line="240" w:lineRule="auto"/>
            </w:pPr>
            <w:r/>
            <w:r>
              <w:rPr>
                <w:rFonts w:ascii="Calibri" w:hAnsi="Calibri"/>
                <w:b w:val="0"/>
                <w:color w:val="1F2933"/>
                <w:sz w:val="18"/>
              </w:rPr>
              <w:t>Review Shopify/Shiprocket sync health and failed webhooks</w:t>
            </w:r>
          </w:p>
        </w:tc>
        <w:tc>
          <w:tcPr>
            <w:tcW w:type="dxa" w:w="3240"/>
            <w:shd w:fill="F2F4F7"/>
            <w:vAlign w:val="center"/>
          </w:tcPr>
          <w:p>
            <w:pPr>
              <w:spacing w:after="0" w:line="240" w:lineRule="auto"/>
            </w:pPr>
            <w:r/>
            <w:r>
              <w:rPr>
                <w:rFonts w:ascii="Calibri" w:hAnsi="Calibri"/>
                <w:b w:val="0"/>
                <w:color w:val="1F2933"/>
                <w:sz w:val="18"/>
              </w:rPr>
              <w:t>Last successful sync visible; failures assigned</w:t>
            </w:r>
          </w:p>
        </w:tc>
      </w:tr>
      <w:tr>
        <w:tc>
          <w:tcPr>
            <w:tcW w:type="dxa" w:w="1512"/>
            <w:shd w:fill="FFFFFF"/>
            <w:vAlign w:val="center"/>
          </w:tcPr>
          <w:p>
            <w:pPr>
              <w:spacing w:after="0" w:line="240" w:lineRule="auto"/>
            </w:pPr>
            <w:r/>
            <w:r>
              <w:rPr>
                <w:rFonts w:ascii="Calibri" w:hAnsi="Calibri"/>
                <w:b w:val="0"/>
                <w:color w:val="1F2933"/>
                <w:sz w:val="18"/>
              </w:rPr>
              <w:t>Weekly</w:t>
            </w:r>
          </w:p>
        </w:tc>
        <w:tc>
          <w:tcPr>
            <w:tcW w:type="dxa" w:w="5040"/>
            <w:shd w:fill="FFFFFF"/>
            <w:vAlign w:val="center"/>
          </w:tcPr>
          <w:p>
            <w:pPr>
              <w:spacing w:after="0" w:line="240" w:lineRule="auto"/>
            </w:pPr>
            <w:r/>
            <w:r>
              <w:rPr>
                <w:rFonts w:ascii="Calibri" w:hAnsi="Calibri"/>
                <w:b w:val="0"/>
                <w:color w:val="1F2933"/>
                <w:sz w:val="18"/>
              </w:rPr>
              <w:t>Review recipe changes, inactive SKUs, packaging rules, RTO recovery</w:t>
            </w:r>
          </w:p>
        </w:tc>
        <w:tc>
          <w:tcPr>
            <w:tcW w:type="dxa" w:w="3240"/>
            <w:shd w:fill="FFFFFF"/>
            <w:vAlign w:val="center"/>
          </w:tcPr>
          <w:p>
            <w:pPr>
              <w:spacing w:after="0" w:line="240" w:lineRule="auto"/>
            </w:pPr>
            <w:r/>
            <w:r>
              <w:rPr>
                <w:rFonts w:ascii="Calibri" w:hAnsi="Calibri"/>
                <w:b w:val="0"/>
                <w:color w:val="1F2933"/>
                <w:sz w:val="18"/>
              </w:rPr>
              <w:t>Manager signs off changes and restock/damage totals</w:t>
            </w:r>
          </w:p>
        </w:tc>
      </w:tr>
      <w:tr>
        <w:tc>
          <w:tcPr>
            <w:tcW w:type="dxa" w:w="1512"/>
            <w:shd w:fill="F2F4F7"/>
            <w:vAlign w:val="center"/>
          </w:tcPr>
          <w:p>
            <w:pPr>
              <w:spacing w:after="0" w:line="240" w:lineRule="auto"/>
            </w:pPr>
            <w:r/>
            <w:r>
              <w:rPr>
                <w:rFonts w:ascii="Calibri" w:hAnsi="Calibri"/>
                <w:b w:val="0"/>
                <w:color w:val="1F2933"/>
                <w:sz w:val="18"/>
              </w:rPr>
              <w:t>Monthly</w:t>
            </w:r>
          </w:p>
        </w:tc>
        <w:tc>
          <w:tcPr>
            <w:tcW w:type="dxa" w:w="5040"/>
            <w:shd w:fill="F2F4F7"/>
            <w:vAlign w:val="center"/>
          </w:tcPr>
          <w:p>
            <w:pPr>
              <w:spacing w:after="0" w:line="240" w:lineRule="auto"/>
            </w:pPr>
            <w:r/>
            <w:r>
              <w:rPr>
                <w:rFonts w:ascii="Calibri" w:hAnsi="Calibri"/>
                <w:b w:val="0"/>
                <w:color w:val="1F2933"/>
                <w:sz w:val="18"/>
              </w:rPr>
              <w:t>Full inventory count, duplicate/canonical order review, role/access review</w:t>
            </w:r>
          </w:p>
        </w:tc>
        <w:tc>
          <w:tcPr>
            <w:tcW w:type="dxa" w:w="3240"/>
            <w:shd w:fill="F2F4F7"/>
            <w:vAlign w:val="center"/>
          </w:tcPr>
          <w:p>
            <w:pPr>
              <w:spacing w:after="0" w:line="240" w:lineRule="auto"/>
            </w:pPr>
            <w:r/>
            <w:r>
              <w:rPr>
                <w:rFonts w:ascii="Calibri" w:hAnsi="Calibri"/>
                <w:b w:val="0"/>
                <w:color w:val="1F2933"/>
                <w:sz w:val="18"/>
              </w:rPr>
              <w:t>Signed reconciliation report and corrective adjustments</w:t>
            </w:r>
          </w:p>
        </w:tc>
      </w:tr>
    </w:tbl>
    <w:p>
      <w:pPr>
        <w:pStyle w:val="Heading2"/>
      </w:pPr>
      <w:r>
        <w:t>Recommended KPI set</w:t>
      </w:r>
    </w:p>
    <w:tbl>
      <w:tblPr>
        <w:tblW w:type="dxa" w:w="9792"/>
        <w:jc w:val="left"/>
        <w:tblLayout w:type="fixed"/>
        <w:tblLook w:firstColumn="1" w:firstRow="1" w:lastColumn="0" w:lastRow="0" w:noHBand="0" w:noVBand="1" w:val="04A0"/>
      </w:tblPr>
      <w:tblGrid>
        <w:gridCol w:w="3264"/>
        <w:gridCol w:w="3264"/>
        <w:gridCol w:w="3264"/>
      </w:tblGrid>
      <w:tr>
        <w:tc>
          <w:tcPr>
            <w:tcW w:type="dxa" w:w="2232"/>
            <w:shd w:fill="2E74B5"/>
            <w:vAlign w:val="center"/>
          </w:tcPr>
          <w:p>
            <w:pPr>
              <w:spacing w:after="0" w:line="240" w:lineRule="auto"/>
            </w:pPr>
            <w:r/>
            <w:r>
              <w:rPr>
                <w:rFonts w:ascii="Calibri" w:hAnsi="Calibri"/>
                <w:b/>
                <w:color w:val="FFFFFF"/>
                <w:sz w:val="18"/>
              </w:rPr>
              <w:t>KPI</w:t>
            </w:r>
          </w:p>
        </w:tc>
        <w:tc>
          <w:tcPr>
            <w:tcW w:type="dxa" w:w="4968"/>
            <w:shd w:fill="2E74B5"/>
            <w:vAlign w:val="center"/>
          </w:tcPr>
          <w:p>
            <w:pPr>
              <w:spacing w:after="0" w:line="240" w:lineRule="auto"/>
            </w:pPr>
            <w:r/>
            <w:r>
              <w:rPr>
                <w:rFonts w:ascii="Calibri" w:hAnsi="Calibri"/>
                <w:b/>
                <w:color w:val="FFFFFF"/>
                <w:sz w:val="18"/>
              </w:rPr>
              <w:t>Definition</w:t>
            </w:r>
          </w:p>
        </w:tc>
        <w:tc>
          <w:tcPr>
            <w:tcW w:type="dxa" w:w="2592"/>
            <w:shd w:fill="2E74B5"/>
            <w:vAlign w:val="center"/>
          </w:tcPr>
          <w:p>
            <w:pPr>
              <w:spacing w:after="0" w:line="240" w:lineRule="auto"/>
            </w:pPr>
            <w:r/>
            <w:r>
              <w:rPr>
                <w:rFonts w:ascii="Calibri" w:hAnsi="Calibri"/>
                <w:b/>
                <w:color w:val="FFFFFF"/>
                <w:sz w:val="18"/>
              </w:rPr>
              <w:t>Why it matters</w:t>
            </w:r>
          </w:p>
        </w:tc>
      </w:tr>
      <w:tr>
        <w:tc>
          <w:tcPr>
            <w:tcW w:type="dxa" w:w="2232"/>
            <w:shd w:fill="F2F4F7"/>
            <w:vAlign w:val="center"/>
          </w:tcPr>
          <w:p>
            <w:pPr>
              <w:spacing w:after="0" w:line="240" w:lineRule="auto"/>
            </w:pPr>
            <w:r/>
            <w:r>
              <w:rPr>
                <w:rFonts w:ascii="Calibri" w:hAnsi="Calibri"/>
                <w:b w:val="0"/>
                <w:color w:val="1F2933"/>
                <w:sz w:val="18"/>
              </w:rPr>
              <w:t>Order aging</w:t>
            </w:r>
          </w:p>
        </w:tc>
        <w:tc>
          <w:tcPr>
            <w:tcW w:type="dxa" w:w="4968"/>
            <w:shd w:fill="F2F4F7"/>
            <w:vAlign w:val="center"/>
          </w:tcPr>
          <w:p>
            <w:pPr>
              <w:spacing w:after="0" w:line="240" w:lineRule="auto"/>
            </w:pPr>
            <w:r/>
            <w:r>
              <w:rPr>
                <w:rFonts w:ascii="Calibri" w:hAnsi="Calibri"/>
                <w:b w:val="0"/>
                <w:color w:val="1F2933"/>
                <w:sz w:val="18"/>
              </w:rPr>
              <w:t>Age of oldest unprocessed / unconfirmed order</w:t>
            </w:r>
          </w:p>
        </w:tc>
        <w:tc>
          <w:tcPr>
            <w:tcW w:type="dxa" w:w="2592"/>
            <w:shd w:fill="F2F4F7"/>
            <w:vAlign w:val="center"/>
          </w:tcPr>
          <w:p>
            <w:pPr>
              <w:spacing w:after="0" w:line="240" w:lineRule="auto"/>
            </w:pPr>
            <w:r/>
            <w:r>
              <w:rPr>
                <w:rFonts w:ascii="Calibri" w:hAnsi="Calibri"/>
                <w:b w:val="0"/>
                <w:color w:val="1F2933"/>
                <w:sz w:val="18"/>
              </w:rPr>
              <w:t>Queue health before customer impact</w:t>
            </w:r>
          </w:p>
        </w:tc>
      </w:tr>
      <w:tr>
        <w:tc>
          <w:tcPr>
            <w:tcW w:type="dxa" w:w="2232"/>
            <w:shd w:fill="FFFFFF"/>
            <w:vAlign w:val="center"/>
          </w:tcPr>
          <w:p>
            <w:pPr>
              <w:spacing w:after="0" w:line="240" w:lineRule="auto"/>
            </w:pPr>
            <w:r/>
            <w:r>
              <w:rPr>
                <w:rFonts w:ascii="Calibri" w:hAnsi="Calibri"/>
                <w:b w:val="0"/>
                <w:color w:val="1F2933"/>
                <w:sz w:val="18"/>
              </w:rPr>
              <w:t>Confirmation conversion</w:t>
            </w:r>
          </w:p>
        </w:tc>
        <w:tc>
          <w:tcPr>
            <w:tcW w:type="dxa" w:w="4968"/>
            <w:shd w:fill="FFFFFF"/>
            <w:vAlign w:val="center"/>
          </w:tcPr>
          <w:p>
            <w:pPr>
              <w:spacing w:after="0" w:line="240" w:lineRule="auto"/>
            </w:pPr>
            <w:r/>
            <w:r>
              <w:rPr>
                <w:rFonts w:ascii="Calibri" w:hAnsi="Calibri"/>
                <w:b w:val="0"/>
                <w:color w:val="1F2933"/>
                <w:sz w:val="18"/>
              </w:rPr>
              <w:t>Confirmed orders ÷ orders requiring confirmation</w:t>
            </w:r>
          </w:p>
        </w:tc>
        <w:tc>
          <w:tcPr>
            <w:tcW w:type="dxa" w:w="2592"/>
            <w:shd w:fill="FFFFFF"/>
            <w:vAlign w:val="center"/>
          </w:tcPr>
          <w:p>
            <w:pPr>
              <w:spacing w:after="0" w:line="240" w:lineRule="auto"/>
            </w:pPr>
            <w:r/>
            <w:r>
              <w:rPr>
                <w:rFonts w:ascii="Calibri" w:hAnsi="Calibri"/>
                <w:b w:val="0"/>
                <w:color w:val="1F2933"/>
                <w:sz w:val="18"/>
              </w:rPr>
              <w:t>Call-team effectiveness</w:t>
            </w:r>
          </w:p>
        </w:tc>
      </w:tr>
      <w:tr>
        <w:tc>
          <w:tcPr>
            <w:tcW w:type="dxa" w:w="2232"/>
            <w:shd w:fill="F2F4F7"/>
            <w:vAlign w:val="center"/>
          </w:tcPr>
          <w:p>
            <w:pPr>
              <w:spacing w:after="0" w:line="240" w:lineRule="auto"/>
            </w:pPr>
            <w:r/>
            <w:r>
              <w:rPr>
                <w:rFonts w:ascii="Calibri" w:hAnsi="Calibri"/>
                <w:b w:val="0"/>
                <w:color w:val="1F2933"/>
                <w:sz w:val="18"/>
              </w:rPr>
              <w:t>Ready-to-ship rate</w:t>
            </w:r>
          </w:p>
        </w:tc>
        <w:tc>
          <w:tcPr>
            <w:tcW w:type="dxa" w:w="4968"/>
            <w:shd w:fill="F2F4F7"/>
            <w:vAlign w:val="center"/>
          </w:tcPr>
          <w:p>
            <w:pPr>
              <w:spacing w:after="0" w:line="240" w:lineRule="auto"/>
            </w:pPr>
            <w:r/>
            <w:r>
              <w:rPr>
                <w:rFonts w:ascii="Calibri" w:hAnsi="Calibri"/>
                <w:b w:val="0"/>
                <w:color w:val="1F2933"/>
                <w:sz w:val="18"/>
              </w:rPr>
              <w:t>Orders with complete requirements and shipment prerequisites</w:t>
            </w:r>
          </w:p>
        </w:tc>
        <w:tc>
          <w:tcPr>
            <w:tcW w:type="dxa" w:w="2592"/>
            <w:shd w:fill="F2F4F7"/>
            <w:vAlign w:val="center"/>
          </w:tcPr>
          <w:p>
            <w:pPr>
              <w:spacing w:after="0" w:line="240" w:lineRule="auto"/>
            </w:pPr>
            <w:r/>
            <w:r>
              <w:rPr>
                <w:rFonts w:ascii="Calibri" w:hAnsi="Calibri"/>
                <w:b w:val="0"/>
                <w:color w:val="1F2933"/>
                <w:sz w:val="18"/>
              </w:rPr>
              <w:t>Connects catalog and inventory quality to dispatch</w:t>
            </w:r>
          </w:p>
        </w:tc>
      </w:tr>
      <w:tr>
        <w:tc>
          <w:tcPr>
            <w:tcW w:type="dxa" w:w="2232"/>
            <w:shd w:fill="FFFFFF"/>
            <w:vAlign w:val="center"/>
          </w:tcPr>
          <w:p>
            <w:pPr>
              <w:spacing w:after="0" w:line="240" w:lineRule="auto"/>
            </w:pPr>
            <w:r/>
            <w:r>
              <w:rPr>
                <w:rFonts w:ascii="Calibri" w:hAnsi="Calibri"/>
                <w:b w:val="0"/>
                <w:color w:val="1F2933"/>
                <w:sz w:val="18"/>
              </w:rPr>
              <w:t>Inventory accuracy</w:t>
            </w:r>
          </w:p>
        </w:tc>
        <w:tc>
          <w:tcPr>
            <w:tcW w:type="dxa" w:w="4968"/>
            <w:shd w:fill="FFFFFF"/>
            <w:vAlign w:val="center"/>
          </w:tcPr>
          <w:p>
            <w:pPr>
              <w:spacing w:after="0" w:line="240" w:lineRule="auto"/>
            </w:pPr>
            <w:r/>
            <w:r>
              <w:rPr>
                <w:rFonts w:ascii="Calibri" w:hAnsi="Calibri"/>
                <w:b w:val="0"/>
                <w:color w:val="1F2933"/>
                <w:sz w:val="18"/>
              </w:rPr>
              <w:t>1 − absolute count variance ÷ counted units</w:t>
            </w:r>
          </w:p>
        </w:tc>
        <w:tc>
          <w:tcPr>
            <w:tcW w:type="dxa" w:w="2592"/>
            <w:shd w:fill="FFFFFF"/>
            <w:vAlign w:val="center"/>
          </w:tcPr>
          <w:p>
            <w:pPr>
              <w:spacing w:after="0" w:line="240" w:lineRule="auto"/>
            </w:pPr>
            <w:r/>
            <w:r>
              <w:rPr>
                <w:rFonts w:ascii="Calibri" w:hAnsi="Calibri"/>
                <w:b w:val="0"/>
                <w:color w:val="1F2933"/>
                <w:sz w:val="18"/>
              </w:rPr>
              <w:t>Measures trust in stock balances</w:t>
            </w:r>
          </w:p>
        </w:tc>
      </w:tr>
      <w:tr>
        <w:tc>
          <w:tcPr>
            <w:tcW w:type="dxa" w:w="2232"/>
            <w:shd w:fill="F2F4F7"/>
            <w:vAlign w:val="center"/>
          </w:tcPr>
          <w:p>
            <w:pPr>
              <w:spacing w:after="0" w:line="240" w:lineRule="auto"/>
            </w:pPr>
            <w:r/>
            <w:r>
              <w:rPr>
                <w:rFonts w:ascii="Calibri" w:hAnsi="Calibri"/>
                <w:b w:val="0"/>
                <w:color w:val="1F2933"/>
                <w:sz w:val="18"/>
              </w:rPr>
              <w:t>Stockout exposure</w:t>
            </w:r>
          </w:p>
        </w:tc>
        <w:tc>
          <w:tcPr>
            <w:tcW w:type="dxa" w:w="4968"/>
            <w:shd w:fill="F2F4F7"/>
            <w:vAlign w:val="center"/>
          </w:tcPr>
          <w:p>
            <w:pPr>
              <w:spacing w:after="0" w:line="240" w:lineRule="auto"/>
            </w:pPr>
            <w:r/>
            <w:r>
              <w:rPr>
                <w:rFonts w:ascii="Calibri" w:hAnsi="Calibri"/>
                <w:b w:val="0"/>
                <w:color w:val="1F2933"/>
                <w:sz w:val="18"/>
              </w:rPr>
              <w:t>Components at/below zero available ÷ required components</w:t>
            </w:r>
          </w:p>
        </w:tc>
        <w:tc>
          <w:tcPr>
            <w:tcW w:type="dxa" w:w="2592"/>
            <w:shd w:fill="F2F4F7"/>
            <w:vAlign w:val="center"/>
          </w:tcPr>
          <w:p>
            <w:pPr>
              <w:spacing w:after="0" w:line="240" w:lineRule="auto"/>
            </w:pPr>
            <w:r/>
            <w:r>
              <w:rPr>
                <w:rFonts w:ascii="Calibri" w:hAnsi="Calibri"/>
                <w:b w:val="0"/>
                <w:color w:val="1F2933"/>
                <w:sz w:val="18"/>
              </w:rPr>
              <w:t>Immediate fulfillment risk</w:t>
            </w:r>
          </w:p>
        </w:tc>
      </w:tr>
      <w:tr>
        <w:tc>
          <w:tcPr>
            <w:tcW w:type="dxa" w:w="2232"/>
            <w:shd w:fill="FFFFFF"/>
            <w:vAlign w:val="center"/>
          </w:tcPr>
          <w:p>
            <w:pPr>
              <w:spacing w:after="0" w:line="240" w:lineRule="auto"/>
            </w:pPr>
            <w:r/>
            <w:r>
              <w:rPr>
                <w:rFonts w:ascii="Calibri" w:hAnsi="Calibri"/>
                <w:b w:val="0"/>
                <w:color w:val="1F2933"/>
                <w:sz w:val="18"/>
              </w:rPr>
              <w:t>RTO recovery rate</w:t>
            </w:r>
          </w:p>
        </w:tc>
        <w:tc>
          <w:tcPr>
            <w:tcW w:type="dxa" w:w="4968"/>
            <w:shd w:fill="FFFFFF"/>
            <w:vAlign w:val="center"/>
          </w:tcPr>
          <w:p>
            <w:pPr>
              <w:spacing w:after="0" w:line="240" w:lineRule="auto"/>
            </w:pPr>
            <w:r/>
            <w:r>
              <w:rPr>
                <w:rFonts w:ascii="Calibri" w:hAnsi="Calibri"/>
                <w:b w:val="0"/>
                <w:color w:val="1F2933"/>
                <w:sz w:val="18"/>
              </w:rPr>
              <w:t>Good recoverable units restocked ÷ recoverable units received</w:t>
            </w:r>
          </w:p>
        </w:tc>
        <w:tc>
          <w:tcPr>
            <w:tcW w:type="dxa" w:w="2592"/>
            <w:shd w:fill="FFFFFF"/>
            <w:vAlign w:val="center"/>
          </w:tcPr>
          <w:p>
            <w:pPr>
              <w:spacing w:after="0" w:line="240" w:lineRule="auto"/>
            </w:pPr>
            <w:r/>
            <w:r>
              <w:rPr>
                <w:rFonts w:ascii="Calibri" w:hAnsi="Calibri"/>
                <w:b w:val="0"/>
                <w:color w:val="1F2933"/>
                <w:sz w:val="18"/>
              </w:rPr>
              <w:t>Value recovered from returns</w:t>
            </w:r>
          </w:p>
        </w:tc>
      </w:tr>
      <w:tr>
        <w:tc>
          <w:tcPr>
            <w:tcW w:type="dxa" w:w="2232"/>
            <w:shd w:fill="F2F4F7"/>
            <w:vAlign w:val="center"/>
          </w:tcPr>
          <w:p>
            <w:pPr>
              <w:spacing w:after="0" w:line="240" w:lineRule="auto"/>
            </w:pPr>
            <w:r/>
            <w:r>
              <w:rPr>
                <w:rFonts w:ascii="Calibri" w:hAnsi="Calibri"/>
                <w:b w:val="0"/>
                <w:color w:val="1F2933"/>
                <w:sz w:val="18"/>
              </w:rPr>
              <w:t>Integration freshness</w:t>
            </w:r>
          </w:p>
        </w:tc>
        <w:tc>
          <w:tcPr>
            <w:tcW w:type="dxa" w:w="4968"/>
            <w:shd w:fill="F2F4F7"/>
            <w:vAlign w:val="center"/>
          </w:tcPr>
          <w:p>
            <w:pPr>
              <w:spacing w:after="0" w:line="240" w:lineRule="auto"/>
            </w:pPr>
            <w:r/>
            <w:r>
              <w:rPr>
                <w:rFonts w:ascii="Calibri" w:hAnsi="Calibri"/>
                <w:b w:val="0"/>
                <w:color w:val="1F2933"/>
                <w:sz w:val="18"/>
              </w:rPr>
              <w:t>Time since last successful provider sync</w:t>
            </w:r>
          </w:p>
        </w:tc>
        <w:tc>
          <w:tcPr>
            <w:tcW w:type="dxa" w:w="2592"/>
            <w:shd w:fill="F2F4F7"/>
            <w:vAlign w:val="center"/>
          </w:tcPr>
          <w:p>
            <w:pPr>
              <w:spacing w:after="0" w:line="240" w:lineRule="auto"/>
            </w:pPr>
            <w:r/>
            <w:r>
              <w:rPr>
                <w:rFonts w:ascii="Calibri" w:hAnsi="Calibri"/>
                <w:b w:val="0"/>
                <w:color w:val="1F2933"/>
                <w:sz w:val="18"/>
              </w:rPr>
              <w:t>Catches silent provider drift</w:t>
            </w:r>
          </w:p>
        </w:tc>
      </w:tr>
    </w:tbl>
    <w:p>
      <w:pPr>
        <w:pStyle w:val="Heading1"/>
      </w:pPr>
      <w:r>
        <w:t>8. Recommended implementation backlog</w:t>
      </w:r>
    </w:p>
    <w:p>
      <w:pPr>
        <w:pStyle w:val="ListNumber"/>
      </w:pPr>
      <w:r>
        <w:t>P0 — Fail closed on missing webhook/cryptographic secrets and add deterministic Shiprocket webhook idempotency.</w:t>
      </w:r>
    </w:p>
    <w:p>
      <w:pPr>
        <w:pStyle w:val="ListNumber"/>
      </w:pPr>
      <w:r>
        <w:t>P1 — Expose provider health, last cursor, failed event counts, and reconciliation discrepancies in Audits.</w:t>
      </w:r>
    </w:p>
    <w:p>
      <w:pPr>
        <w:pStyle w:val="ListNumber"/>
      </w:pPr>
      <w:r>
        <w:t>P1 — Reconcile duplicate order rows before trusting historical aggregates; enforce canonical order identity.</w:t>
      </w:r>
    </w:p>
    <w:p>
      <w:pPr>
        <w:pStyle w:val="ListNumber"/>
      </w:pPr>
      <w:r>
        <w:t>P1 — Split the monolithic state payload by screen and paginate/virtualize large order and insight tables.</w:t>
      </w:r>
    </w:p>
    <w:p>
      <w:pPr>
        <w:pStyle w:val="ListNumber"/>
      </w:pPr>
      <w:r>
        <w:t>P1 — Add a review queue for name-only product matches and recipe changes affecting unshipped orders.</w:t>
      </w:r>
    </w:p>
    <w:p>
      <w:pPr>
        <w:pStyle w:val="ListNumber"/>
      </w:pPr>
      <w:r>
        <w:t>P2 — Add count sessions with expected count, counted quantity, variance reason, reviewer, and sign-off.</w:t>
      </w:r>
    </w:p>
    <w:p>
      <w:pPr>
        <w:pStyle w:val="ListNumber"/>
      </w:pPr>
      <w:r>
        <w:t>P2 — Add saved views for Needs attention, Ready to ship, Stockout risk, RTO QC, and Sync errors.</w:t>
      </w:r>
    </w:p>
    <w:p>
      <w:pPr>
        <w:pStyle w:val="ListNumber"/>
      </w:pPr>
      <w:r>
        <w:t>P2 — Add route-level, webhook, role-matrix, and browser smoke tests for each shift-critical workflow.</w:t>
      </w:r>
    </w:p>
    <w:p>
      <w:pPr>
        <w:pStyle w:val="Heading1"/>
      </w:pPr>
      <w:r>
        <w:t>9. Current-state caveats</w:t>
      </w:r>
    </w:p>
    <w:p>
      <w:pPr>
        <w:pStyle w:val="ListBullet"/>
      </w:pPr>
      <w:r>
        <w:t>The repository audit reports 4,416 source order rows versus 3,200 canonical normalized order numbers, with 1,216 duplicates requiring reviewed reconciliation.</w:t>
      </w:r>
    </w:p>
    <w:p>
      <w:pPr>
        <w:pStyle w:val="ListBullet"/>
      </w:pPr>
      <w:r>
        <w:t>The audit reports Shiprocket was unhealthy at review time and historical imports were bounded to 60 days; completeness should not be assumed until reconciliation is complete.</w:t>
      </w:r>
    </w:p>
    <w:p>
      <w:pPr>
        <w:pStyle w:val="ListBullet"/>
      </w:pPr>
      <w:r>
        <w:t>Component shortage accuracy depends on correct SKU/product mapping, active recipes, packaging rules, and complete ledger history.</w:t>
      </w:r>
    </w:p>
    <w:p>
      <w:pPr>
        <w:pStyle w:val="ListBullet"/>
      </w:pPr>
      <w:r>
        <w:t>This guide describes checked-in behavior and recommended controls; owners should confirm provider-specific SOP details before rollout.</w:t>
      </w:r>
    </w:p>
    <w:p>
      <w:pPr>
        <w:pStyle w:val="Heading1"/>
      </w:pPr>
      <w:r>
        <w:t>10. Definition of done</w:t>
      </w:r>
    </w:p>
    <w:p>
      <w:pPr>
        <w:pStyle w:val="ListBullet"/>
      </w:pPr>
      <w:r>
        <w:t>An operator can explain the order stage and next action from one row without opening several screens.</w:t>
      </w:r>
    </w:p>
    <w:p>
      <w:pPr>
        <w:pStyle w:val="ListBullet"/>
      </w:pPr>
      <w:r>
        <w:t>Dark mode has readable text, visible borders, consistent inputs, and no light panels or unreadable pills.</w:t>
      </w:r>
    </w:p>
    <w:p>
      <w:pPr>
        <w:pStyle w:val="ListBullet"/>
      </w:pPr>
      <w:r>
        <w:t>No dashboard-level horizontal overflow; wide datasets scroll inside cards and remain usable on smaller screens.</w:t>
      </w:r>
    </w:p>
    <w:p>
      <w:pPr>
        <w:pStyle w:val="ListBullet"/>
      </w:pPr>
      <w:r>
        <w:t>Every stock change is ledger-backed, reason-coded, attributable, and reviewable.</w:t>
      </w:r>
    </w:p>
    <w:p>
      <w:pPr>
        <w:pStyle w:val="ListBullet"/>
      </w:pPr>
      <w:r>
        <w:t>Managers can see queue aging, stockout exposure, integration freshness, and RTO recovery without spreadsheet stitching.</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6"/>
        <w:sz w:val="16"/>
      </w:rPr>
      <w:t xml:space="preserve">Internal operating reference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B76"/>
        <w:sz w:val="16"/>
      </w:rPr>
      <w:t>SATMI · INVENTORY &amp; OPERATIONS SYSTEM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