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rFonts w:ascii="Aptos Display" w:hAnsi="Aptos Display"/>
          <w:b/>
          <w:color w:val="17365D"/>
          <w:spacing w:val="20"/>
          <w:sz w:val="20"/>
        </w:rPr>
        <w:t>CCA3 | FINAL CONCLUSION REPORT</w:t>
      </w:r>
    </w:p>
    <w:p>
      <w:pPr>
        <w:pStyle w:val="Title"/>
        <w:jc w:val="center"/>
      </w:pPr>
      <w:r>
        <w:t>Club Mahindra Website Redesign</w:t>
      </w:r>
    </w:p>
    <w:p>
      <w:pPr>
        <w:spacing w:before="120" w:after="200"/>
        <w:jc w:val="center"/>
      </w:pPr>
      <w:r>
        <w:rPr>
          <w:i/>
          <w:color w:val="5A646E"/>
          <w:sz w:val="22"/>
        </w:rPr>
        <w:t>Usability evaluation of the original website and modified high-fidelity Figma prototype</w:t>
      </w:r>
    </w:p>
    <w:p>
      <w:pPr>
        <w:pStyle w:val="Heading1"/>
      </w:pPr>
      <w:r>
        <w:t>1. Objective</w:t>
      </w:r>
    </w:p>
    <w:p>
      <w:r>
        <w:t>The objective of this study was to evaluate whether the modified high-fidelity Figma prototype of the Club Mahindra website offers a clearer and more usable experience than the original website. The evaluation focused on navigation, access to resort information, visual hierarchy, and clarity of the booking journey.</w:t>
      </w:r>
    </w:p>
    <w:p>
      <w:pPr>
        <w:pStyle w:val="Heading1"/>
      </w:pPr>
      <w:r>
        <w:t>2. Methodology</w:t>
      </w:r>
    </w:p>
    <w:p>
      <w:r>
        <w:t>Five participants reviewed the original Club Mahindra website and the modified Figma prototype. Their Think Aloud interview transcripts were reviewed to identify recurring usability issues and perceived changes between the two versions. A quantitative UX survey was also required by the assignment; however, survey response data was not available when this report was prepared.</w:t>
      </w:r>
    </w:p>
    <w:p>
      <w:pPr>
        <w:pStyle w:val="Heading1"/>
      </w:pPr>
      <w:r>
        <w:t>3. Qualitative Findings</w:t>
      </w:r>
    </w:p>
    <w:p>
      <w:r>
        <w:t>The interview transcripts showed a consistent pattern. On the original website, participants appreciated the attractive resort imagery and the breadth of content, but some found it difficult to decide where to begin, locate destination and amenity details, distinguish important options, or understand the next step in booking.</w:t>
      </w:r>
    </w:p>
    <w:p>
      <w:r>
        <w:t>Feedback on the modified prototype was generally positive. Participants described its layout as cleaner and better organized, with clearer headings, more noticeable buttons, easier-to-scan resort information, and a more understandable path towards booking. Participant 3 noted that some layout elements could still be refined. Participant 4 recommended providing more detailed resort and amenity information. Participant 2 also noted that the complete booking flow would need to be tested to confirm functionality.</w:t>
      </w:r>
    </w:p>
    <w:p>
      <w:pPr>
        <w:pStyle w:val="Heading1"/>
      </w:pPr>
      <w:r>
        <w:t>4. Comparison of the Two Versions</w:t>
      </w:r>
    </w:p>
    <w:tbl>
      <w:tblPr>
        <w:tblStyle w:val="TableNormal"/>
        <w:tblW w:w="9360" w:type="dxa"/>
        <w:jc w:val="center"/>
        <w:tblBorders>
          <w:top w:val="single" w:sz="4" w:space="0" w:color="BFCBD6"/>
          <w:left w:val="single" w:sz="4" w:space="0" w:color="BFCBD6"/>
          <w:bottom w:val="single" w:sz="4" w:space="0" w:color="BFCBD6"/>
          <w:right w:val="single" w:sz="4" w:space="0" w:color="BFCBD6"/>
          <w:insideH w:val="single" w:sz="4" w:space="0" w:color="BFCBD6"/>
          <w:insideV w:val="single" w:sz="4" w:space="0" w:color="BFCBD6"/>
        </w:tblBorders>
        <w:tblLayout w:type="fixed"/>
        <w:tblCellMar>
          <w:top w:w="80" w:type="dxa"/>
          <w:left w:w="120" w:type="dxa"/>
          <w:bottom w:w="80" w:type="dxa"/>
          <w:right w:w="120" w:type="dxa"/>
        </w:tblCellMar>
        <w:tblLook w:val="04A0" w:firstRow="1" w:lastRow="0" w:firstColumn="1" w:lastColumn="0" w:noHBand="0" w:noVBand="1"/>
      </w:tblPr>
      <w:tblGrid>
        <w:gridCol w:w="2100"/>
        <w:gridCol w:w="3630"/>
        <w:gridCol w:w="3630"/>
      </w:tblGrid>
      <w:tr>
        <w:trPr>
          <w:cantSplit/>
          <w:tblHeader/>
        </w:trPr>
        <w:tc>
          <w:tcPr>
            <w:tcW w:w="2100" w:type="dxa"/>
            <w:shd w:val="clear" w:color="auto" w:fill="17365D"/>
            <w:vAlign w:val="center"/>
          </w:tcPr>
          <w:p>
            <w:pPr>
              <w:keepNext/>
              <w:spacing w:before="0" w:after="0" w:line="264" w:lineRule="auto"/>
            </w:pPr>
            <w:r>
              <w:rPr>
                <w:b/>
                <w:color w:val="FFFFFF"/>
                <w:sz w:val="21"/>
                <w:szCs w:val="21"/>
              </w:rPr>
              <w:t>UX parameter</w:t>
            </w:r>
          </w:p>
        </w:tc>
        <w:tc>
          <w:tcPr>
            <w:tcW w:w="3630" w:type="dxa"/>
            <w:shd w:val="clear" w:color="auto" w:fill="17365D"/>
            <w:vAlign w:val="center"/>
          </w:tcPr>
          <w:p>
            <w:pPr>
              <w:keepNext/>
              <w:spacing w:before="0" w:after="0" w:line="264" w:lineRule="auto"/>
            </w:pPr>
            <w:r>
              <w:rPr>
                <w:b/>
                <w:color w:val="FFFFFF"/>
                <w:sz w:val="21"/>
                <w:szCs w:val="21"/>
              </w:rPr>
              <w:t>Original website: reported issue</w:t>
            </w:r>
          </w:p>
        </w:tc>
        <w:tc>
          <w:tcPr>
            <w:tcW w:w="3630" w:type="dxa"/>
            <w:shd w:val="clear" w:color="auto" w:fill="17365D"/>
            <w:vAlign w:val="center"/>
          </w:tcPr>
          <w:p>
            <w:pPr>
              <w:keepNext/>
              <w:spacing w:before="0" w:after="0" w:line="264" w:lineRule="auto"/>
            </w:pPr>
            <w:r>
              <w:rPr>
                <w:b/>
                <w:color w:val="FFFFFF"/>
                <w:sz w:val="21"/>
                <w:szCs w:val="21"/>
              </w:rPr>
              <w:t>Modified prototype: reported change</w:t>
            </w:r>
          </w:p>
        </w:tc>
      </w:tr>
      <w:tr>
        <w:trPr>
          <w:cantSplit/>
        </w:trPr>
        <w:tc>
          <w:tcPr>
            <w:tcW w:w="2100" w:type="dxa"/>
            <w:shd w:val="clear" w:color="auto" w:fill="EAF3F5"/>
            <w:vAlign w:val="center"/>
          </w:tcPr>
          <w:p>
            <w:pPr>
              <w:keepNext/>
              <w:spacing w:before="0" w:after="0" w:line="264" w:lineRule="auto"/>
            </w:pPr>
            <w:r>
              <w:rPr>
                <w:b/>
                <w:color w:val="17365D"/>
                <w:sz w:val="21"/>
                <w:szCs w:val="21"/>
              </w:rPr>
              <w:t>Navigation</w:t>
            </w:r>
          </w:p>
        </w:tc>
        <w:tc>
          <w:tcPr>
            <w:tcW w:w="3630" w:type="dxa"/>
            <w:shd w:val="clear" w:color="auto" w:fill="EAF3F5"/>
            <w:vAlign w:val="center"/>
          </w:tcPr>
          <w:p>
            <w:pPr>
              <w:keepNext/>
              <w:spacing w:before="0" w:after="0" w:line="264" w:lineRule="auto"/>
            </w:pPr>
            <w:r>
              <w:rPr>
                <w:sz w:val="21"/>
                <w:szCs w:val="21"/>
              </w:rPr>
              <w:t>Some sections were hard to locate; users were unsure where to start.</w:t>
            </w:r>
          </w:p>
        </w:tc>
        <w:tc>
          <w:tcPr>
            <w:tcW w:w="3630" w:type="dxa"/>
            <w:shd w:val="clear" w:color="auto" w:fill="EAF3F5"/>
            <w:vAlign w:val="center"/>
          </w:tcPr>
          <w:p>
            <w:pPr>
              <w:keepNext/>
              <w:spacing w:before="0" w:after="0" w:line="264" w:lineRule="auto"/>
            </w:pPr>
            <w:r>
              <w:rPr>
                <w:sz w:val="21"/>
                <w:szCs w:val="21"/>
              </w:rPr>
              <w:t>Structure was perceived as clearer and easier to navigate.</w:t>
            </w:r>
          </w:p>
        </w:tc>
      </w:tr>
      <w:tr>
        <w:trPr>
          <w:cantSplit/>
        </w:trPr>
        <w:tc>
          <w:tcPr>
            <w:tcW w:w="2100" w:type="dxa"/>
            <w:shd w:val="clear" w:color="auto" w:fill="FFFFFF"/>
            <w:vAlign w:val="center"/>
          </w:tcPr>
          <w:p>
            <w:pPr>
              <w:keepNext/>
              <w:spacing w:before="0" w:after="0" w:line="264" w:lineRule="auto"/>
            </w:pPr>
            <w:r>
              <w:rPr>
                <w:b/>
                <w:color w:val="17365D"/>
                <w:sz w:val="21"/>
                <w:szCs w:val="21"/>
              </w:rPr>
              <w:t>Resort information</w:t>
            </w:r>
          </w:p>
        </w:tc>
        <w:tc>
          <w:tcPr>
            <w:tcW w:w="3630" w:type="dxa"/>
            <w:shd w:val="clear" w:color="auto" w:fill="FFFFFF"/>
            <w:vAlign w:val="center"/>
          </w:tcPr>
          <w:p>
            <w:pPr>
              <w:keepNext/>
              <w:spacing w:before="0" w:after="0" w:line="264" w:lineRule="auto"/>
            </w:pPr>
            <w:r>
              <w:rPr>
                <w:sz w:val="21"/>
                <w:szCs w:val="21"/>
              </w:rPr>
              <w:t>Amenities and key details sometimes took extra searching.</w:t>
            </w:r>
          </w:p>
        </w:tc>
        <w:tc>
          <w:tcPr>
            <w:tcW w:w="3630" w:type="dxa"/>
            <w:shd w:val="clear" w:color="auto" w:fill="FFFFFF"/>
            <w:vAlign w:val="center"/>
          </w:tcPr>
          <w:p>
            <w:pPr>
              <w:keepNext/>
              <w:spacing w:before="0" w:after="0" w:line="264" w:lineRule="auto"/>
            </w:pPr>
            <w:r>
              <w:rPr>
                <w:sz w:val="21"/>
                <w:szCs w:val="21"/>
              </w:rPr>
              <w:t>Information was described as easier to find and scan.</w:t>
            </w:r>
          </w:p>
        </w:tc>
      </w:tr>
      <w:tr>
        <w:trPr>
          <w:cantSplit/>
        </w:trPr>
        <w:tc>
          <w:tcPr>
            <w:tcW w:w="2100" w:type="dxa"/>
            <w:shd w:val="clear" w:color="auto" w:fill="EAF3F5"/>
            <w:vAlign w:val="center"/>
          </w:tcPr>
          <w:p>
            <w:pPr>
              <w:keepNext/>
              <w:spacing w:before="0" w:after="0" w:line="264" w:lineRule="auto"/>
            </w:pPr>
            <w:r>
              <w:rPr>
                <w:b/>
                <w:color w:val="17365D"/>
                <w:sz w:val="21"/>
                <w:szCs w:val="21"/>
              </w:rPr>
              <w:t>Visual hierarchy</w:t>
            </w:r>
          </w:p>
        </w:tc>
        <w:tc>
          <w:tcPr>
            <w:tcW w:w="3630" w:type="dxa"/>
            <w:shd w:val="clear" w:color="auto" w:fill="EAF3F5"/>
            <w:vAlign w:val="center"/>
          </w:tcPr>
          <w:p>
            <w:pPr>
              <w:keepNext/>
              <w:spacing w:before="0" w:after="0" w:line="264" w:lineRule="auto"/>
            </w:pPr>
            <w:r>
              <w:rPr>
                <w:sz w:val="21"/>
                <w:szCs w:val="21"/>
              </w:rPr>
              <w:t>Important options could blend into surrounding content.</w:t>
            </w:r>
          </w:p>
        </w:tc>
        <w:tc>
          <w:tcPr>
            <w:tcW w:w="3630" w:type="dxa"/>
            <w:shd w:val="clear" w:color="auto" w:fill="EAF3F5"/>
            <w:vAlign w:val="center"/>
          </w:tcPr>
          <w:p>
            <w:pPr>
              <w:keepNext/>
              <w:spacing w:before="0" w:after="0" w:line="264" w:lineRule="auto"/>
            </w:pPr>
            <w:r>
              <w:rPr>
                <w:sz w:val="21"/>
                <w:szCs w:val="21"/>
              </w:rPr>
              <w:t>Headings and buttons were more noticeable.</w:t>
            </w:r>
          </w:p>
        </w:tc>
      </w:tr>
      <w:tr>
        <w:trPr>
          <w:cantSplit/>
        </w:trPr>
        <w:tc>
          <w:tcPr>
            <w:tcW w:w="2100" w:type="dxa"/>
            <w:shd w:val="clear" w:color="auto" w:fill="FFFFFF"/>
            <w:vAlign w:val="center"/>
          </w:tcPr>
          <w:p>
            <w:pPr>
              <w:spacing w:before="0" w:after="0" w:line="264" w:lineRule="auto"/>
            </w:pPr>
            <w:r>
              <w:rPr>
                <w:b/>
                <w:color w:val="17365D"/>
                <w:sz w:val="21"/>
                <w:szCs w:val="21"/>
              </w:rPr>
              <w:t>Booking clarity</w:t>
            </w:r>
          </w:p>
        </w:tc>
        <w:tc>
          <w:tcPr>
            <w:tcW w:w="3630" w:type="dxa"/>
            <w:shd w:val="clear" w:color="auto" w:fill="FFFFFF"/>
            <w:vAlign w:val="center"/>
          </w:tcPr>
          <w:p>
            <w:pPr>
              <w:spacing w:before="0" w:after="0" w:line="264" w:lineRule="auto"/>
            </w:pPr>
            <w:r>
              <w:rPr>
                <w:sz w:val="21"/>
                <w:szCs w:val="21"/>
              </w:rPr>
              <w:t>The next step was not always obvious.</w:t>
            </w:r>
          </w:p>
        </w:tc>
        <w:tc>
          <w:tcPr>
            <w:tcW w:w="3630" w:type="dxa"/>
            <w:shd w:val="clear" w:color="auto" w:fill="FFFFFF"/>
            <w:vAlign w:val="center"/>
          </w:tcPr>
          <w:p>
            <w:pPr>
              <w:spacing w:before="0" w:after="0" w:line="264" w:lineRule="auto"/>
            </w:pPr>
            <w:r>
              <w:rPr>
                <w:sz w:val="21"/>
                <w:szCs w:val="21"/>
              </w:rPr>
              <w:t>The booking journey was easier to understand, though full functionality remains unverified.</w:t>
            </w:r>
          </w:p>
        </w:tc>
      </w:tr>
    </w:tbl>
    <w:p>
      <w:pPr>
        <w:pStyle w:val="Heading1"/>
      </w:pPr>
      <w:r>
        <w:t>5. Limitations and Recommendations</w:t>
      </w:r>
    </w:p>
    <w:p>
      <w:r>
        <w:t>The findings are based on five participants and their qualitative feedback, so they indicate perceived usability improvements rather than proving an improvement for all users. Quantitative survey ratings must be summarized before a combined mixed-methods conclusion can be made. Next, compare the survey ratings for each UX parameter, test the complete booking flow, and consider adding more detailed resort amenity information and refining any remaining layout issues.</w:t>
      </w:r>
    </w:p>
    <w:p>
      <w:pPr>
        <w:pStyle w:val="Heading1"/>
      </w:pPr>
      <w:r>
        <w:t>6. Conclusion</w:t>
      </w:r>
    </w:p>
    <w:p>
      <w:r>
        <w:t>Based on the five interview transcripts, the modified Club Mahindra prototype appears to improve the perceived user experience, particularly in navigation, information accessibility, visual organization, and booking clarity. Participants generally described the redesigned interface as easier to understand and use. Therefore, the qualitative evidence supports the redesign. However, because quantitative survey results were not provided, the extent of improvement has not yet been verified through numerical ratings. The conclusion should be updated with the survey findings before final submission.</w:t>
      </w:r>
    </w:p>
    <w:sectPr w:rsidR="00FC693F" w:rsidRPr="0006063C" w:rsidSect="00034616">
      <w:footerReference w:type="default" r:id="rId9"/>
      <w:pgSz w:w="12240" w:h="15840"/>
      <w:pgMar w:top="1296" w:right="1440" w:bottom="1296" w:left="1440" w:header="720"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6" w:color="BFCBD6"/>
      </w:pBdr>
      <w:jc w:val="center"/>
    </w:pPr>
    <w:r>
      <w:rPr>
        <w:color w:val="6E7882"/>
        <w:sz w:val="16"/>
      </w:rPr>
      <w:t>CCA3 • Club Mahindra Usability Study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8" w:lineRule="auto"/>
    </w:pPr>
    <w:rPr>
      <w:rFonts w:ascii="Aptos" w:hAnsi="Aptos"/>
      <w:color w:val="2D3741"/>
      <w:sz w:val="22"/>
      <w:szCs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Aptos Display" w:hAnsi="Aptos Display" w:eastAsia="Aptos Display" w:cs="Aptos Display"/>
      <w:b/>
      <w:bCs/>
      <w:color w:val="17365D"/>
      <w:sz w:val="30"/>
      <w:szCs w:val="30"/>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007F8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120"/>
      <w:contextualSpacing/>
    </w:pPr>
    <w:rPr>
      <w:rFonts w:ascii="Aptos Display" w:hAnsi="Aptos Display" w:eastAsia="Aptos Display" w:cs="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