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Service Center Playbook</w:t>
      </w:r>
    </w:p>
    <w:p>
      <w:pPr>
        <w:pStyle w:val="Heading2"/>
      </w:pPr>
      <w:r>
        <w:t>Dropdown‑Driven Input Prompts (Implementation Phase)</w:t>
      </w:r>
    </w:p>
    <w:p>
      <w:pPr>
        <w:pStyle w:val="Heading3"/>
      </w:pPr>
      <w:r>
        <w:t>1. Country of Implementation</w:t>
      </w:r>
    </w:p>
    <w:p>
      <w:r>
        <w:t>Dropdown options:</w:t>
      </w:r>
    </w:p>
    <w:p>
      <w:pPr>
        <w:pStyle w:val="ListBullet"/>
      </w:pPr>
      <w:r>
        <w:t>Iraq</w:t>
      </w:r>
    </w:p>
    <w:p>
      <w:pPr>
        <w:pStyle w:val="ListBullet"/>
      </w:pPr>
      <w:r>
        <w:t>Kuwait</w:t>
      </w:r>
    </w:p>
    <w:p>
      <w:pPr>
        <w:pStyle w:val="ListBullet"/>
      </w:pPr>
      <w:r>
        <w:t>UAE</w:t>
      </w:r>
    </w:p>
    <w:p>
      <w:pPr>
        <w:pStyle w:val="ListBullet"/>
      </w:pPr>
      <w:r>
        <w:t>Oman</w:t>
      </w:r>
    </w:p>
    <w:p>
      <w:pPr>
        <w:pStyle w:val="ListBullet"/>
      </w:pPr>
      <w:r>
        <w:t>Bahrain</w:t>
      </w:r>
    </w:p>
    <w:p>
      <w:pPr>
        <w:pStyle w:val="ListBullet"/>
      </w:pPr>
      <w:r>
        <w:t>Libya</w:t>
      </w:r>
    </w:p>
    <w:p>
      <w:pPr>
        <w:pStyle w:val="ListBullet"/>
      </w:pPr>
      <w:r>
        <w:t>Other (Region‑specific)</w:t>
      </w:r>
    </w:p>
    <w:p>
      <w:r>
        <w:t>✅ System auto‑populates:</w:t>
      </w:r>
    </w:p>
    <w:p>
      <w:pPr>
        <w:pStyle w:val="ListBullet2"/>
      </w:pPr>
      <w:r>
        <w:t>Security requirements (Yes / No)</w:t>
      </w:r>
    </w:p>
    <w:p>
      <w:pPr>
        <w:pStyle w:val="ListBullet2"/>
      </w:pPr>
      <w:r>
        <w:t>PSD &amp; logistics cost benchmarks</w:t>
      </w:r>
    </w:p>
    <w:p>
      <w:pPr>
        <w:pStyle w:val="ListBullet2"/>
      </w:pPr>
      <w:r>
        <w:t>Local labor constraints</w:t>
      </w:r>
    </w:p>
    <w:p>
      <w:pPr>
        <w:pStyle w:val="ListBullet2"/>
      </w:pPr>
      <w:r>
        <w:t>Utility reliability assumptions</w:t>
      </w:r>
    </w:p>
    <w:p>
      <w:pPr>
        <w:pStyle w:val="ListBullet2"/>
      </w:pPr>
      <w:r>
        <w:t>Regulatory &amp; permit lead times</w:t>
      </w:r>
    </w:p>
    <w:p>
      <w:pPr>
        <w:pStyle w:val="ListBullet2"/>
      </w:pPr>
      <w:r>
        <w:t>Country risk modifiers (schedule / cost)</w:t>
      </w:r>
    </w:p>
    <w:p>
      <w:pPr>
        <w:pStyle w:val="Heading3"/>
      </w:pPr>
      <w:r>
        <w:t>2. City / Industrial Zone</w:t>
      </w:r>
    </w:p>
    <w:p>
      <w:r>
        <w:t>Dropdown options:</w:t>
      </w:r>
    </w:p>
    <w:p>
      <w:pPr>
        <w:pStyle w:val="ListBullet"/>
      </w:pPr>
      <w:r>
        <w:t>Contextual – filtered by country (e.g. Basra, Rumaila, Mina Al Ahmadi, Sohar)</w:t>
      </w:r>
    </w:p>
    <w:p>
      <w:r>
        <w:t>✅ System auto‑populates:</w:t>
      </w:r>
    </w:p>
    <w:p>
      <w:pPr>
        <w:pStyle w:val="ListBullet2"/>
      </w:pPr>
      <w:r>
        <w:t>Land cost assumptions</w:t>
      </w:r>
    </w:p>
    <w:p>
      <w:pPr>
        <w:pStyle w:val="ListBullet2"/>
      </w:pPr>
      <w:r>
        <w:t>Typical plot size ranges</w:t>
      </w:r>
    </w:p>
    <w:p>
      <w:pPr>
        <w:pStyle w:val="ListBullet2"/>
      </w:pPr>
      <w:r>
        <w:t>Utility availability (power, water, gas)</w:t>
      </w:r>
    </w:p>
    <w:p>
      <w:pPr>
        <w:pStyle w:val="ListBullet2"/>
      </w:pPr>
      <w:r>
        <w:t>Accessibility for heavy transport</w:t>
      </w:r>
    </w:p>
    <w:p>
      <w:pPr>
        <w:pStyle w:val="ListBullet2"/>
      </w:pPr>
      <w:r>
        <w:t>Proximity weighting to installed base</w:t>
      </w:r>
    </w:p>
    <w:p>
      <w:pPr>
        <w:pStyle w:val="Heading3"/>
      </w:pPr>
      <w:r>
        <w:t>3. Product Line(s) to be Implemented</w:t>
      </w:r>
    </w:p>
    <w:p>
      <w:r>
        <w:t>Dropdown options:</w:t>
      </w:r>
    </w:p>
    <w:p>
      <w:pPr>
        <w:pStyle w:val="ListBullet"/>
      </w:pPr>
      <w:r>
        <w:t>Pump Services (PS)</w:t>
      </w:r>
    </w:p>
    <w:p>
      <w:pPr>
        <w:pStyle w:val="ListBullet"/>
      </w:pPr>
      <w:r>
        <w:t>Turbo Services (TS)</w:t>
      </w:r>
    </w:p>
    <w:p>
      <w:pPr>
        <w:pStyle w:val="ListBullet"/>
      </w:pPr>
      <w:r>
        <w:t>Electromechanical Services (EMS)</w:t>
      </w:r>
    </w:p>
    <w:p>
      <w:r>
        <w:t>✅ System auto‑populates:</w:t>
      </w:r>
    </w:p>
    <w:p>
      <w:pPr>
        <w:pStyle w:val="ListBullet2"/>
      </w:pPr>
      <w:r>
        <w:t>Mandatory service scope</w:t>
      </w:r>
    </w:p>
    <w:p>
      <w:pPr>
        <w:pStyle w:val="ListBullet2"/>
      </w:pPr>
      <w:r>
        <w:t>Workshop zoning requirements</w:t>
      </w:r>
    </w:p>
    <w:p>
      <w:pPr>
        <w:pStyle w:val="ListBullet2"/>
      </w:pPr>
      <w:r>
        <w:t>Equipment &amp; tooling master list</w:t>
      </w:r>
    </w:p>
    <w:p>
      <w:pPr>
        <w:pStyle w:val="ListBullet2"/>
      </w:pPr>
      <w:r>
        <w:t>Certification &amp; accreditation matrix</w:t>
      </w:r>
    </w:p>
    <w:p>
      <w:pPr>
        <w:pStyle w:val="ListBullet2"/>
      </w:pPr>
      <w:r>
        <w:t>Skill matrix by role</w:t>
      </w:r>
    </w:p>
    <w:p>
      <w:pPr>
        <w:pStyle w:val="Heading3"/>
      </w:pPr>
      <w:r>
        <w:t>4. Expected Annual Order Intake (Value)</w:t>
      </w:r>
    </w:p>
    <w:p>
      <w:r>
        <w:t>Dropdown options:</w:t>
      </w:r>
    </w:p>
    <w:p>
      <w:pPr>
        <w:pStyle w:val="ListBullet"/>
      </w:pPr>
      <w:r>
        <w:t>&lt; USD 5m</w:t>
      </w:r>
    </w:p>
    <w:p>
      <w:pPr>
        <w:pStyle w:val="ListBullet"/>
      </w:pPr>
      <w:r>
        <w:t>USD 5–10m</w:t>
      </w:r>
    </w:p>
    <w:p>
      <w:pPr>
        <w:pStyle w:val="ListBullet"/>
      </w:pPr>
      <w:r>
        <w:t>USD 10–20m</w:t>
      </w:r>
    </w:p>
    <w:p>
      <w:pPr>
        <w:pStyle w:val="ListBullet"/>
      </w:pPr>
      <w:r>
        <w:t>&gt; USD 20m</w:t>
      </w:r>
    </w:p>
    <w:p>
      <w:r>
        <w:t>✅ System auto‑populates:</w:t>
      </w:r>
    </w:p>
    <w:p>
      <w:pPr>
        <w:pStyle w:val="ListBullet2"/>
      </w:pPr>
      <w:r>
        <w:t>Required throughput capacity</w:t>
      </w:r>
    </w:p>
    <w:p>
      <w:pPr>
        <w:pStyle w:val="ListBullet2"/>
      </w:pPr>
      <w:r>
        <w:t>Number of repair bays</w:t>
      </w:r>
    </w:p>
    <w:p>
      <w:pPr>
        <w:pStyle w:val="ListBullet2"/>
      </w:pPr>
      <w:r>
        <w:t>Crane capacity &amp; quantity</w:t>
      </w:r>
    </w:p>
    <w:p>
      <w:pPr>
        <w:pStyle w:val="ListBullet2"/>
      </w:pPr>
      <w:r>
        <w:t>Machining &amp; testing scale</w:t>
      </w:r>
    </w:p>
    <w:p>
      <w:pPr>
        <w:pStyle w:val="ListBullet2"/>
      </w:pPr>
      <w:r>
        <w:t>Staffing numbers by function</w:t>
      </w:r>
    </w:p>
    <w:p>
      <w:pPr>
        <w:pStyle w:val="ListBullet2"/>
      </w:pPr>
      <w:r>
        <w:t>CapEx tier (Small / Medium / Large SC)</w:t>
      </w:r>
    </w:p>
    <w:p>
      <w:pPr>
        <w:pStyle w:val="Heading3"/>
      </w:pPr>
      <w:r>
        <w:t>5. Expected Annual Job Volume</w:t>
      </w:r>
    </w:p>
    <w:p>
      <w:r>
        <w:t>Dropdown options:</w:t>
      </w:r>
    </w:p>
    <w:p>
      <w:pPr>
        <w:pStyle w:val="ListBullet"/>
      </w:pPr>
      <w:r>
        <w:t>&lt; 100 jobs/year</w:t>
      </w:r>
    </w:p>
    <w:p>
      <w:pPr>
        <w:pStyle w:val="ListBullet"/>
      </w:pPr>
      <w:r>
        <w:t>100–300 jobs/year</w:t>
      </w:r>
    </w:p>
    <w:p>
      <w:pPr>
        <w:pStyle w:val="ListBullet"/>
      </w:pPr>
      <w:r>
        <w:t>300–600 jobs/year</w:t>
      </w:r>
    </w:p>
    <w:p>
      <w:pPr>
        <w:pStyle w:val="ListBullet"/>
      </w:pPr>
      <w:r>
        <w:t>&gt; 600 jobs/year</w:t>
      </w:r>
    </w:p>
    <w:p>
      <w:r>
        <w:t>✅ System auto‑populates:</w:t>
      </w:r>
    </w:p>
    <w:p>
      <w:pPr>
        <w:pStyle w:val="ListBullet2"/>
      </w:pPr>
      <w:r>
        <w:t>Workflow complexity</w:t>
      </w:r>
    </w:p>
    <w:p>
      <w:pPr>
        <w:pStyle w:val="ListBullet2"/>
      </w:pPr>
      <w:r>
        <w:t>Shift pattern assumptions</w:t>
      </w:r>
    </w:p>
    <w:p>
      <w:pPr>
        <w:pStyle w:val="ListBullet2"/>
      </w:pPr>
      <w:r>
        <w:t>Material flow layout logic</w:t>
      </w:r>
    </w:p>
    <w:p>
      <w:pPr>
        <w:pStyle w:val="ListBullet2"/>
      </w:pPr>
      <w:r>
        <w:t>QA / inspection workload</w:t>
      </w:r>
    </w:p>
    <w:p>
      <w:pPr>
        <w:pStyle w:val="ListBullet2"/>
      </w:pPr>
      <w:r>
        <w:t>Spare parts &amp; logistics model</w:t>
      </w:r>
    </w:p>
    <w:p>
      <w:pPr>
        <w:pStyle w:val="Heading3"/>
      </w:pPr>
      <w:r>
        <w:t>6. Service Center Scale</w:t>
      </w:r>
    </w:p>
    <w:p>
      <w:r>
        <w:t>Dropdown options:</w:t>
      </w:r>
    </w:p>
    <w:p>
      <w:pPr>
        <w:pStyle w:val="ListBullet"/>
      </w:pPr>
      <w:r>
        <w:t>Small</w:t>
      </w:r>
    </w:p>
    <w:p>
      <w:pPr>
        <w:pStyle w:val="ListBullet"/>
      </w:pPr>
      <w:r>
        <w:t>Medium</w:t>
      </w:r>
    </w:p>
    <w:p>
      <w:pPr>
        <w:pStyle w:val="ListBullet"/>
      </w:pPr>
      <w:r>
        <w:t>Large</w:t>
      </w:r>
    </w:p>
    <w:p>
      <w:pPr>
        <w:pStyle w:val="ListBullet"/>
      </w:pPr>
      <w:r>
        <w:t>Center of Excellence (CoE)</w:t>
      </w:r>
    </w:p>
    <w:p>
      <w:r>
        <w:t>✅ System auto‑populates:</w:t>
      </w:r>
    </w:p>
    <w:p>
      <w:pPr>
        <w:pStyle w:val="ListBullet2"/>
      </w:pPr>
      <w:r>
        <w:t>Building footprint (m²)</w:t>
      </w:r>
    </w:p>
    <w:p>
      <w:pPr>
        <w:pStyle w:val="ListBullet2"/>
      </w:pPr>
      <w:r>
        <w:t>Yard &amp; storage requirements</w:t>
      </w:r>
    </w:p>
    <w:p>
      <w:pPr>
        <w:pStyle w:val="ListBullet2"/>
      </w:pPr>
      <w:r>
        <w:t>Crane &amp; lifting philosophy</w:t>
      </w:r>
    </w:p>
    <w:p>
      <w:pPr>
        <w:pStyle w:val="ListBullet2"/>
      </w:pPr>
      <w:r>
        <w:t>Test facility inclusion</w:t>
      </w:r>
    </w:p>
    <w:p>
      <w:pPr>
        <w:pStyle w:val="ListBullet2"/>
      </w:pPr>
      <w:r>
        <w:t>Back‑office staffing model</w:t>
      </w:r>
    </w:p>
    <w:p>
      <w:pPr>
        <w:pStyle w:val="Heading3"/>
      </w:pPr>
      <w:r>
        <w:t>7. Implementation Phasing Strategy</w:t>
      </w:r>
    </w:p>
    <w:p>
      <w:r>
        <w:t>Dropdown options:</w:t>
      </w:r>
    </w:p>
    <w:p>
      <w:pPr>
        <w:pStyle w:val="ListBullet"/>
      </w:pPr>
      <w:r>
        <w:t>Phase 1 only (Core services)</w:t>
      </w:r>
    </w:p>
    <w:p>
      <w:pPr>
        <w:pStyle w:val="ListBullet"/>
      </w:pPr>
      <w:r>
        <w:t>Phase 1 + Phase 2 (Planned expansion)</w:t>
      </w:r>
    </w:p>
    <w:p>
      <w:pPr>
        <w:pStyle w:val="ListBullet"/>
      </w:pPr>
      <w:r>
        <w:t>Full scope Day‑1</w:t>
      </w:r>
    </w:p>
    <w:p>
      <w:r>
        <w:t>✅ System auto‑populates:</w:t>
      </w:r>
    </w:p>
    <w:p>
      <w:pPr>
        <w:pStyle w:val="ListBullet2"/>
      </w:pPr>
      <w:r>
        <w:t>Go‑live minimum equipment list</w:t>
      </w:r>
    </w:p>
    <w:p>
      <w:pPr>
        <w:pStyle w:val="ListBullet2"/>
      </w:pPr>
      <w:r>
        <w:t>Deferred CapEx register</w:t>
      </w:r>
    </w:p>
    <w:p>
      <w:pPr>
        <w:pStyle w:val="ListBullet2"/>
      </w:pPr>
      <w:r>
        <w:t>Hiring ramp‑up plan</w:t>
      </w:r>
    </w:p>
    <w:p>
      <w:pPr>
        <w:pStyle w:val="ListBullet2"/>
      </w:pPr>
      <w:r>
        <w:t>Certification sequencing</w:t>
      </w:r>
    </w:p>
    <w:p>
      <w:pPr>
        <w:pStyle w:val="ListBullet2"/>
      </w:pPr>
      <w:r>
        <w:t>Cash flow profile</w:t>
      </w:r>
    </w:p>
    <w:p>
      <w:pPr>
        <w:pStyle w:val="Heading3"/>
      </w:pPr>
      <w:r>
        <w:t>8. Local Capability vs Import Dependency</w:t>
      </w:r>
    </w:p>
    <w:p>
      <w:r>
        <w:t>Dropdown options:</w:t>
      </w:r>
    </w:p>
    <w:p>
      <w:pPr>
        <w:pStyle w:val="ListBullet"/>
      </w:pPr>
      <w:r>
        <w:t>High local capability</w:t>
      </w:r>
    </w:p>
    <w:p>
      <w:pPr>
        <w:pStyle w:val="ListBullet"/>
      </w:pPr>
      <w:r>
        <w:t>Medium – mixed sourcing</w:t>
      </w:r>
    </w:p>
    <w:p>
      <w:pPr>
        <w:pStyle w:val="ListBullet"/>
      </w:pPr>
      <w:r>
        <w:t>Low – heavy import reliance</w:t>
      </w:r>
    </w:p>
    <w:p>
      <w:r>
        <w:t>✅ System auto‑populates:</w:t>
      </w:r>
    </w:p>
    <w:p>
      <w:pPr>
        <w:pStyle w:val="ListBullet2"/>
      </w:pPr>
      <w:r>
        <w:t>Subcontracting strategy</w:t>
      </w:r>
    </w:p>
    <w:p>
      <w:pPr>
        <w:pStyle w:val="ListBullet2"/>
      </w:pPr>
      <w:r>
        <w:t>Machining vs outsourcing split</w:t>
      </w:r>
    </w:p>
    <w:p>
      <w:pPr>
        <w:pStyle w:val="ListBullet2"/>
      </w:pPr>
      <w:r>
        <w:t>Supplier onboarding list</w:t>
      </w:r>
    </w:p>
    <w:p>
      <w:pPr>
        <w:pStyle w:val="ListBullet2"/>
      </w:pPr>
      <w:r>
        <w:t>Lead time buffers</w:t>
      </w:r>
    </w:p>
    <w:p>
      <w:pPr>
        <w:pStyle w:val="ListBullet2"/>
      </w:pPr>
      <w:r>
        <w:t>Risk contingency allowances</w:t>
      </w:r>
    </w:p>
    <w:p>
      <w:pPr>
        <w:pStyle w:val="Heading3"/>
      </w:pPr>
      <w:r>
        <w:t>9. Operating Model</w:t>
      </w:r>
    </w:p>
    <w:p>
      <w:r>
        <w:t>Dropdown options:</w:t>
      </w:r>
    </w:p>
    <w:p>
      <w:pPr>
        <w:pStyle w:val="ListBullet"/>
      </w:pPr>
      <w:r>
        <w:t>Stand‑alone Service Center</w:t>
      </w:r>
    </w:p>
    <w:p>
      <w:pPr>
        <w:pStyle w:val="ListBullet"/>
      </w:pPr>
      <w:r>
        <w:t>Hub‑and‑Spoke (linked to regional hub)</w:t>
      </w:r>
    </w:p>
    <w:p>
      <w:pPr>
        <w:pStyle w:val="ListBullet"/>
      </w:pPr>
      <w:r>
        <w:t>Satellite / Light SC</w:t>
      </w:r>
    </w:p>
    <w:p>
      <w:r>
        <w:t>✅ System auto‑populates:</w:t>
      </w:r>
    </w:p>
    <w:p>
      <w:pPr>
        <w:pStyle w:val="ListBullet2"/>
      </w:pPr>
      <w:r>
        <w:t>Org structure depth</w:t>
      </w:r>
    </w:p>
    <w:p>
      <w:pPr>
        <w:pStyle w:val="ListBullet2"/>
      </w:pPr>
      <w:r>
        <w:t>Engineering authority levels</w:t>
      </w:r>
    </w:p>
    <w:p>
      <w:pPr>
        <w:pStyle w:val="ListBullet2"/>
      </w:pPr>
      <w:r>
        <w:t>IT &amp; SAP integration scope</w:t>
      </w:r>
    </w:p>
    <w:p>
      <w:pPr>
        <w:pStyle w:val="ListBullet2"/>
      </w:pPr>
      <w:r>
        <w:t>Reporting &amp; governance model</w:t>
      </w:r>
    </w:p>
    <w:p>
      <w:pPr>
        <w:pStyle w:val="ListBullet2"/>
      </w:pPr>
      <w:r>
        <w:t>Shared service assumptions</w:t>
      </w:r>
    </w:p>
    <w:p>
      <w:pPr>
        <w:pStyle w:val="Heading3"/>
      </w:pPr>
      <w:r>
        <w:t>10. Target Go‑Live Timeline</w:t>
      </w:r>
    </w:p>
    <w:p>
      <w:r>
        <w:t>Dropdown options:</w:t>
      </w:r>
    </w:p>
    <w:p>
      <w:pPr>
        <w:pStyle w:val="ListBullet"/>
      </w:pPr>
      <w:r>
        <w:t>&lt; 6 months</w:t>
      </w:r>
    </w:p>
    <w:p>
      <w:pPr>
        <w:pStyle w:val="ListBullet"/>
      </w:pPr>
      <w:r>
        <w:t>6–9 months</w:t>
      </w:r>
    </w:p>
    <w:p>
      <w:pPr>
        <w:pStyle w:val="ListBullet"/>
      </w:pPr>
      <w:r>
        <w:t>9–12 months</w:t>
      </w:r>
    </w:p>
    <w:p>
      <w:pPr>
        <w:pStyle w:val="ListBullet"/>
      </w:pPr>
      <w:r>
        <w:t>&gt; 12 months</w:t>
      </w:r>
    </w:p>
    <w:p>
      <w:r>
        <w:t>✅ System auto‑populates:</w:t>
      </w:r>
    </w:p>
    <w:p>
      <w:pPr>
        <w:pStyle w:val="ListBullet2"/>
      </w:pPr>
      <w:r>
        <w:t>Fast‑track vs standard execution path</w:t>
      </w:r>
    </w:p>
    <w:p>
      <w:pPr>
        <w:pStyle w:val="ListBullet2"/>
      </w:pPr>
      <w:r>
        <w:t>Parallel vs sequential activities</w:t>
      </w:r>
    </w:p>
    <w:p>
      <w:pPr>
        <w:pStyle w:val="ListBullet2"/>
      </w:pPr>
      <w:r>
        <w:t>Long‑lead item flagging</w:t>
      </w:r>
    </w:p>
    <w:p>
      <w:pPr>
        <w:pStyle w:val="ListBullet2"/>
      </w:pPr>
      <w:r>
        <w:t>Risk &amp; contingency uplift</w:t>
      </w:r>
    </w:p>
    <w:p>
      <w:pPr>
        <w:pStyle w:val="ListBullet2"/>
      </w:pPr>
      <w:r>
        <w:t>Critical path milestones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