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Methodology &amp; Evaluation Guide</w:t>
      </w:r>
    </w:p>
    <w:p>
      <w:pPr>
        <w:jc w:val="center"/>
      </w:pPr>
      <w:r>
        <w:rPr>
          <w:color w:val="646464"/>
          <w:sz w:val="26"/>
        </w:rPr>
        <w:t>Skeleton-Based Action Recognition — Step-by-Step</w:t>
      </w:r>
    </w:p>
    <w:p/>
    <w:p>
      <w:pPr>
        <w:pStyle w:val="Heading1"/>
      </w:pPr>
      <w:r>
        <w:t>A. Steps Taken &amp; Justifications</w:t>
      </w:r>
    </w:p>
    <w:p>
      <w:pPr>
        <w:pStyle w:val="Heading2"/>
      </w:pPr>
      <w:r>
        <w:t>Step 1: Dataset Selection</w:t>
      </w:r>
    </w:p>
    <w:p>
      <w:pPr>
        <w:pStyle w:val="ListBullet"/>
      </w:pPr>
      <w:r>
        <w:t>What: Used ntu60_hrnet.pkl — NTU RGB+D 60 skeleton data pre-extracted with HRNet pose estimator.</w:t>
      </w:r>
    </w:p>
    <w:p>
      <w:pPr>
        <w:pStyle w:val="ListBullet"/>
      </w:pPr>
      <w:r>
        <w:t>Why HRNet and not raw Kinect: HRNet provides cleaner 2D poses with per-joint confidence scores. The pickle format (673 MB) loads in seconds vs. parsing 56K raw .skeleton text files (5.76 GB, 30 min).</w:t>
      </w:r>
    </w:p>
    <w:p>
      <w:pPr>
        <w:pStyle w:val="ListBullet"/>
      </w:pPr>
      <w:r>
        <w:t>Why NTU RGB+D 60: Most widely used benchmark for skeleton action recognition with 60 action classes and standardized train/test splits, making results directly comparable to published research.</w:t>
      </w:r>
    </w:p>
    <w:p>
      <w:pPr>
        <w:pStyle w:val="Heading2"/>
      </w:pPr>
      <w:r>
        <w:t>Step 2: Split Protocol — Cross-Subject</w:t>
      </w:r>
    </w:p>
    <w:p>
      <w:pPr>
        <w:pStyle w:val="ListBullet"/>
      </w:pPr>
      <w:r>
        <w:t>What: Train on 20 subjects (40,091 samples), test on remaining 20 subjects (16,487 samples). No subject appears in both sets.</w:t>
      </w:r>
    </w:p>
    <w:p>
      <w:pPr>
        <w:pStyle w:val="ListBullet"/>
      </w:pPr>
      <w:r>
        <w:t>Why not random split: Random splits leak subject-specific movement patterns into test data, inflating accuracy. Cross-Subject tests true generalization to unseen people.</w:t>
      </w:r>
    </w:p>
    <w:p>
      <w:pPr>
        <w:pStyle w:val="Heading2"/>
      </w:pPr>
      <w:r>
        <w:t>Step 3: Feature Engineering — 7 Channels</w:t>
      </w:r>
    </w:p>
    <w:p>
      <w:pPr>
        <w:pStyle w:val="ListBullet"/>
      </w:pPr>
      <w:r>
        <w:t>What: Built 7 input channels per joint — (x, y, confidence, velocity_x, velocity_y, bone_x, bone_y).</w:t>
      </w:r>
    </w:p>
    <w:p>
      <w:pPr>
        <w:pStyle w:val="ListBullet"/>
      </w:pPr>
      <w:r>
        <w:t>Why not just x, y: Raw coordinates only capture position. Velocity captures motion dynamics (how fast joints move). Bone features capture body structure (relative joint positions). Confidence tells the model which joints to trust.</w:t>
      </w:r>
    </w:p>
    <w:p>
      <w:pPr>
        <w:pStyle w:val="Heading2"/>
      </w:pPr>
      <w:r>
        <w:t>Step 4: Normalization — Hip-Center + Torso Scale</w:t>
      </w:r>
    </w:p>
    <w:p>
      <w:pPr>
        <w:pStyle w:val="ListBullet"/>
      </w:pPr>
      <w:r>
        <w:t>What: Subtracted hip center (midpoint of left/right hip) from all joints, then divided by torso length (hip to shoulder distance).</w:t>
      </w:r>
    </w:p>
    <w:p>
      <w:pPr>
        <w:pStyle w:val="ListBullet"/>
      </w:pPr>
      <w:r>
        <w:t>Why: Makes the model invariant to where the person stands in the frame (translation) and how tall they are (scale). Without this, the same action at different positions would look different to the model.</w:t>
      </w:r>
    </w:p>
    <w:p>
      <w:pPr>
        <w:pStyle w:val="Heading2"/>
      </w:pPr>
      <w:r>
        <w:t>Step 5: Model Choice — LSTM-Transformer Hybrid</w:t>
      </w:r>
    </w:p>
    <w:p>
      <w:pPr>
        <w:pStyle w:val="ListBullet"/>
      </w:pPr>
      <w:r>
        <w:t>What: Bi-LSTM (2 layers) feeds into Transformer Encoder (4 layers, 8 heads). A [CLS] token is used for classification.</w:t>
      </w:r>
    </w:p>
    <w:p>
      <w:pPr>
        <w:pStyle w:val="ListBullet"/>
      </w:pPr>
      <w:r>
        <w:t>Why LSTM: Captures local temporal patterns — how joints move between consecutive frames (velocity, acceleration, short motion phrases).</w:t>
      </w:r>
    </w:p>
    <w:p>
      <w:pPr>
        <w:pStyle w:val="ListBullet"/>
      </w:pPr>
      <w:r>
        <w:t>Why Transformer: Captures long-range dependencies — relates events far apart in time (e.g., raising hand at frame 10 relates to lowering it at frame 80). Pure LSTM struggles with 300-frame sequences.</w:t>
      </w:r>
    </w:p>
    <w:p>
      <w:pPr>
        <w:pStyle w:val="ListBullet"/>
      </w:pPr>
      <w:r>
        <w:t>Why not ST-GCN: ST-GCN models skeleton graph topology and works well with 3D data. Our data is 2D, so the graph structure advantage is reduced. LSTM-Transformer is simpler and achieved 87.5% vs. ST-GCN paper 81.5%.</w:t>
      </w:r>
    </w:p>
    <w:p>
      <w:pPr>
        <w:pStyle w:val="ListBullet"/>
      </w:pPr>
      <w:r>
        <w:t>Why not pure Transformer: Transformers on raw skeleton input struggle with local temporal dynamics. The LSTM pre-processes the sequence into temporally-aware features before the Transformer attends globally.</w:t>
      </w:r>
    </w:p>
    <w:p>
      <w:pPr>
        <w:pStyle w:val="Heading2"/>
      </w:pPr>
      <w:r>
        <w:t>Step 6: Data Augmentation</w:t>
      </w:r>
    </w:p>
    <w:p>
      <w:pPr>
        <w:pStyle w:val="ListBullet"/>
      </w:pPr>
      <w:r>
        <w:t>What: Random scale (0.9-1.1x), random 2D rotation (±15 degrees), random temporal shift (±5 frames).</w:t>
      </w:r>
    </w:p>
    <w:p>
      <w:pPr>
        <w:pStyle w:val="ListBullet"/>
      </w:pPr>
      <w:r>
        <w:t>Why: Prevents overfitting. The model sees slightly different versions of each sample every epoch, forcing it to learn general patterns rather than memorizing training data.</w:t>
      </w:r>
    </w:p>
    <w:p>
      <w:pPr>
        <w:pStyle w:val="Heading2"/>
      </w:pPr>
      <w:r>
        <w:t>Step 7: Training Techniques</w:t>
      </w:r>
    </w:p>
    <w:p>
      <w:pPr>
        <w:pStyle w:val="ListBullet"/>
      </w:pPr>
      <w:r>
        <w:t>Label Smoothing (0.1): Uses soft targets instead of hard 0/1. Prevents overconfident predictions and improves generalization.</w:t>
      </w:r>
    </w:p>
    <w:p>
      <w:pPr>
        <w:pStyle w:val="ListBullet"/>
      </w:pPr>
      <w:r>
        <w:t>Warmup + Cosine LR: Learning rate starts small (5e-5), ramps up over 5 epochs (to 5e-4), then gradually decays. Prevents early training instability.</w:t>
      </w:r>
    </w:p>
    <w:p>
      <w:pPr>
        <w:pStyle w:val="ListBullet"/>
      </w:pPr>
      <w:r>
        <w:t>Gradient Clipping (1.0): Limits gradient magnitude. Transformers are prone to gradient explosions; clipping prevents this.</w:t>
      </w:r>
    </w:p>
    <w:p>
      <w:pPr>
        <w:pStyle w:val="ListBullet"/>
      </w:pPr>
      <w:r>
        <w:t>Padding Mask: Tells the Transformer which frames are real data vs. zero-padding. Without this, the model wastes attention on empty frames.</w:t>
      </w:r>
    </w:p>
    <w:p>
      <w:pPr>
        <w:pStyle w:val="Heading2"/>
      </w:pPr>
      <w:r>
        <w:t>Step 8: Memory Optimization</w:t>
      </w:r>
    </w:p>
    <w:p>
      <w:pPr>
        <w:pStyle w:val="ListBullet"/>
      </w:pPr>
      <w:r>
        <w:t>What: Features computed on-the-fly inside the DataLoader, not pre-stored in RAM.</w:t>
      </w:r>
    </w:p>
    <w:p>
      <w:pPr>
        <w:pStyle w:val="ListBullet"/>
      </w:pPr>
      <w:r>
        <w:t>Why: Pre-computing all 56K samples would require ~15 GB RAM. Colab free tier has ~12 GB. On-the-fly computation uses ~1 GB with negligible speed overhead.</w:t>
      </w:r>
    </w:p>
    <w:p/>
    <w:p>
      <w:pPr>
        <w:pStyle w:val="Heading1"/>
      </w:pPr>
      <w:r>
        <w:t>B. Evaluation Metrics Explained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Our Result</w:t>
            </w:r>
          </w:p>
        </w:tc>
        <w:tc>
          <w:tcPr>
            <w:tcW w:type="dxa" w:w="2880"/>
          </w:tcPr>
          <w:p>
            <w:r>
              <w:t>What It Tells You</w:t>
            </w:r>
          </w:p>
        </w:tc>
      </w:tr>
      <w:tr>
        <w:tc>
          <w:tcPr>
            <w:tcW w:type="dxa" w:w="2880"/>
          </w:tcPr>
          <w:p>
            <w:r>
              <w:t>Top-1 Accuracy</w:t>
            </w:r>
          </w:p>
        </w:tc>
        <w:tc>
          <w:tcPr>
            <w:tcW w:type="dxa" w:w="2880"/>
          </w:tcPr>
          <w:p>
            <w:r>
              <w:t>87.51%</w:t>
            </w:r>
          </w:p>
        </w:tc>
        <w:tc>
          <w:tcPr>
            <w:tcW w:type="dxa" w:w="2880"/>
          </w:tcPr>
          <w:p>
            <w:r>
              <w:t>The model predicted the exact correct action 87.51% of the time. Primary metric for action recognition.</w:t>
            </w:r>
          </w:p>
        </w:tc>
      </w:tr>
      <w:tr>
        <w:tc>
          <w:tcPr>
            <w:tcW w:type="dxa" w:w="2880"/>
          </w:tcPr>
          <w:p>
            <w:r>
              <w:t>Top-5 Accuracy</w:t>
            </w:r>
          </w:p>
        </w:tc>
        <w:tc>
          <w:tcPr>
            <w:tcW w:type="dxa" w:w="2880"/>
          </w:tcPr>
          <w:p>
            <w:r>
              <w:t>96.83%</w:t>
            </w:r>
          </w:p>
        </w:tc>
        <w:tc>
          <w:tcPr>
            <w:tcW w:type="dxa" w:w="2880"/>
          </w:tcPr>
          <w:p>
            <w:r>
              <w:t>The correct action was in the top 5 guesses 96.83% of the time. When the model is wrong, it picks a similar action, not a random one.</w:t>
            </w:r>
          </w:p>
        </w:tc>
      </w:tr>
      <w:tr>
        <w:tc>
          <w:tcPr>
            <w:tcW w:type="dxa" w:w="2880"/>
          </w:tcPr>
          <w:p>
            <w:r>
              <w:t>Mean Class Accuracy</w:t>
            </w:r>
          </w:p>
        </w:tc>
        <w:tc>
          <w:tcPr>
            <w:tcW w:type="dxa" w:w="2880"/>
          </w:tcPr>
          <w:p>
            <w:r>
              <w:t>87.49%</w:t>
            </w:r>
          </w:p>
        </w:tc>
        <w:tc>
          <w:tcPr>
            <w:tcW w:type="dxa" w:w="2880"/>
          </w:tcPr>
          <w:p>
            <w:r>
              <w:t>Average accuracy across all 60 classes, treating each equally. Very close to Top-1, meaning the model performs consistently across all actions.</w:t>
            </w:r>
          </w:p>
        </w:tc>
      </w:tr>
      <w:tr>
        <w:tc>
          <w:tcPr>
            <w:tcW w:type="dxa" w:w="2880"/>
          </w:tcPr>
          <w:p>
            <w:r>
              <w:t>Weighted F1-Score</w:t>
            </w:r>
          </w:p>
        </w:tc>
        <w:tc>
          <w:tcPr>
            <w:tcW w:type="dxa" w:w="2880"/>
          </w:tcPr>
          <w:p>
            <w:r>
              <w:t>0.8753</w:t>
            </w:r>
          </w:p>
        </w:tc>
        <w:tc>
          <w:tcPr>
            <w:tcW w:type="dxa" w:w="2880"/>
          </w:tcPr>
          <w:p>
            <w:r>
              <w:t>Harmonic mean of precision and recall, weighted by class frequency. Penalizes both false positives and false negatives in a balanced way.</w:t>
            </w:r>
          </w:p>
        </w:tc>
      </w:tr>
      <w:tr>
        <w:tc>
          <w:tcPr>
            <w:tcW w:type="dxa" w:w="2880"/>
          </w:tcPr>
          <w:p>
            <w:r>
              <w:t>Cohen's Kappa</w:t>
            </w:r>
          </w:p>
        </w:tc>
        <w:tc>
          <w:tcPr>
            <w:tcW w:type="dxa" w:w="2880"/>
          </w:tcPr>
          <w:p>
            <w:r>
              <w:t>0.8729</w:t>
            </w:r>
          </w:p>
        </w:tc>
        <w:tc>
          <w:tcPr>
            <w:tcW w:type="dxa" w:w="2880"/>
          </w:tcPr>
          <w:p>
            <w:r>
              <w:t>Agreement beyond random chance. 0 = random guessing, 1 = perfect. Our 0.87 means strong agreement with true labels.</w:t>
            </w:r>
          </w:p>
        </w:tc>
      </w:tr>
      <w:tr>
        <w:tc>
          <w:tcPr>
            <w:tcW w:type="dxa" w:w="2880"/>
          </w:tcPr>
          <w:p>
            <w:r>
              <w:t>Per-Class Accuracy</w:t>
            </w:r>
          </w:p>
        </w:tc>
        <w:tc>
          <w:tcPr>
            <w:tcW w:type="dxa" w:w="2880"/>
          </w:tcPr>
          <w:p>
            <w:r>
              <w:t>Bar chart</w:t>
            </w:r>
          </w:p>
        </w:tc>
        <w:tc>
          <w:tcPr>
            <w:tcW w:type="dxa" w:w="2880"/>
          </w:tcPr>
          <w:p>
            <w:r>
              <w:t>Shows easy actions (falling: 98%) vs. hard ones (reading: 48%). Hard actions are visually similar in 2D.</w:t>
            </w:r>
          </w:p>
        </w:tc>
      </w:tr>
      <w:tr>
        <w:tc>
          <w:tcPr>
            <w:tcW w:type="dxa" w:w="2880"/>
          </w:tcPr>
          <w:p>
            <w:r>
              <w:t>Confusion Matrix</w:t>
            </w:r>
          </w:p>
        </w:tc>
        <w:tc>
          <w:tcPr>
            <w:tcW w:type="dxa" w:w="2880"/>
          </w:tcPr>
          <w:p>
            <w:r>
              <w:t>Heatmap</w:t>
            </w:r>
          </w:p>
        </w:tc>
        <w:tc>
          <w:tcPr>
            <w:tcW w:type="dxa" w:w="2880"/>
          </w:tcPr>
          <w:p>
            <w:r>
              <w:t>A 60x60 grid showing which actions get confused. Off-diagonal bright spots reveal systematic confusions.</w:t>
            </w:r>
          </w:p>
        </w:tc>
      </w:tr>
      <w:tr>
        <w:tc>
          <w:tcPr>
            <w:tcW w:type="dxa" w:w="2880"/>
          </w:tcPr>
          <w:p>
            <w:r>
              <w:t>t-SNE</w:t>
            </w:r>
          </w:p>
        </w:tc>
        <w:tc>
          <w:tcPr>
            <w:tcW w:type="dxa" w:w="2880"/>
          </w:tcPr>
          <w:p>
            <w:r>
              <w:t>Scatter plot</w:t>
            </w:r>
          </w:p>
        </w:tc>
        <w:tc>
          <w:tcPr>
            <w:tcW w:type="dxa" w:w="2880"/>
          </w:tcPr>
          <w:p>
            <w:r>
              <w:t>Projects 256-dim features to 2D. Well-separated clusters = the model learned distinct representations per action.</w:t>
            </w:r>
          </w:p>
        </w:tc>
      </w:tr>
    </w:tbl>
    <w:p/>
    <w:p>
      <w:pPr>
        <w:pStyle w:val="Heading1"/>
      </w:pPr>
      <w:r>
        <w:t>C. Key Findings</w:t>
      </w:r>
    </w:p>
    <w:p>
      <w:pPr>
        <w:pStyle w:val="ListBullet"/>
      </w:pPr>
      <w:r>
        <w:t>The model excels at full-body actions with distinctive motion: falling (100% precision), jumping (99.3%), sitting/standing (98.9%), hugging (98.9%).</w:t>
      </w:r>
    </w:p>
    <w:p>
      <w:pPr>
        <w:pStyle w:val="ListBullet"/>
      </w:pPr>
      <w:r>
        <w:t>The model struggles with fine-grained hand/arm actions that look similar in 2D: reading (48.4%), writing (61.4%), playing with phone (66.6%). These would benefit from 3D depth data.</w:t>
      </w:r>
    </w:p>
    <w:p>
      <w:pPr>
        <w:pStyle w:val="ListBullet"/>
      </w:pPr>
      <w:r>
        <w:t>MCA (87.49%) nearly identical to Top-1 (87.51%) confirms the model does not favor frequent classes over rare ones.</w:t>
      </w:r>
    </w:p>
    <w:p>
      <w:pPr>
        <w:pStyle w:val="ListBullet"/>
      </w:pPr>
      <w:r>
        <w:t>Top-5 of 96.83% shows that even when wrong, the correct answer is almost always in the top 5 — errors are between similar actions, not random.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