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none" w:color="FFFFFF" w:sz="0"/>
          <w:left w:val="none" w:color="FFFFFF" w:sz="0"/>
          <w:bottom w:val="single" w:color="1F7A8C" w:sz="18"/>
          <w:right w:val="none" w:color="FFFFFF" w:sz="0"/>
          <w:insideH w:val="none" w:color="FFFFFF" w:sz="0"/>
          <w:insideV w:val="none" w:color="FFFFFF" w:sz="0"/>
        </w:tblBorders>
      </w:tblPr>
      <w:tblGrid>
        <w:gridCol w:w="9840"/>
      </w:tblGrid>
      <w:tr>
        <w:tc>
          <w:tcPr>
            <w:tcW w:type="dxa" w:w="9840"/>
            <w:shd w:fill="0F2E4C" w:val="clear"/>
            <w:tcMar>
              <w:top w:type="dxa" w:w="320"/>
              <w:left w:type="dxa" w:w="320"/>
              <w:bottom w:type="dxa" w:w="320"/>
              <w:right w:type="dxa" w:w="320"/>
            </w:tcMar>
          </w:tcPr>
          <w:p>
            <w:pPr>
              <w:spacing w:after="60"/>
            </w:pPr>
            <w:r>
              <w:rPr>
                <w:b/>
                <w:bCs/>
                <w:color w:val="9FD3DD"/>
                <w:spacing w:val="40"/>
                <w:sz w:val="18"/>
                <w:szCs w:val="18"/>
              </w:rPr>
              <w:t xml:space="preserve">GELDIUM | COLLECTIONS STRATEGY</w:t>
            </w:r>
          </w:p>
          <w:p>
            <w:pPr>
              <w:spacing w:after="0"/>
            </w:pPr>
            <w:r>
              <w:rPr>
                <w:b/>
                <w:bCs/>
                <w:color w:val="FFFFFF"/>
                <w:sz w:val="40"/>
                <w:szCs w:val="40"/>
              </w:rPr>
              <w:t xml:space="preserve">Business Summary Report: Predictive Insights for Collections Strategy</w:t>
            </w:r>
          </w:p>
        </w:tc>
      </w:tr>
    </w:tbl>
    <w:p>
      <w:pPr>
        <w:spacing w:after="200"/>
      </w:pPr>
    </w:p>
    <w:p>
      <w:pPr>
        <w:pStyle w:val="Heading1"/>
      </w:pPr>
      <w:r>
        <w:rPr>
          <w:b/>
          <w:bCs/>
          <w:color w:val="0F2E4C"/>
        </w:rPr>
        <w:t xml:space="preserve">1. Summary of Predictive Insights</w:t>
      </w:r>
    </w:p>
    <w:p>
      <w:r>
        <w:t xml:space="preserve">Our predictive model (Logistic Regression) Analyzed customer financial behavior to identify patterns leading to credit card delinquency. The dataset analysis reveals that delinquency is not purely random but is strongly tied to specific financial indicators and employment profiles.</w:t>
      </w:r>
    </w:p>
    <w:p>
      <w:pPr>
        <w:pStyle w:val="Heading2"/>
      </w:pPr>
      <w:r>
        <w:rPr>
          <w:b/>
          <w:bCs/>
          <w:color w:val="1F7A8C"/>
        </w:rPr>
        <w:t xml:space="preserve">Top 3 Risk Factors:</w:t>
      </w:r>
    </w:p>
    <w:p>
      <w:pPr>
        <w:pStyle w:val="ListParagraph"/>
        <w:numPr>
          <w:ilvl w:val="0"/>
          <w:numId w:val="2"/>
        </w:numPr>
        <w:spacing w:after="80"/>
      </w:pPr>
      <w:r>
        <w:rPr>
          <w:b/>
          <w:bCs/>
          <w:color w:val="0F2E4C"/>
        </w:rPr>
        <w:t xml:space="preserve">Income Constraints:</w:t>
      </w:r>
      <w:r>
        <w:t xml:space="preserve"> Lower income levels show a notable correlation with higher delinquency rates.</w:t>
      </w:r>
    </w:p>
    <w:p>
      <w:pPr>
        <w:pStyle w:val="ListParagraph"/>
        <w:numPr>
          <w:ilvl w:val="0"/>
          <w:numId w:val="2"/>
        </w:numPr>
        <w:spacing w:after="80"/>
      </w:pPr>
      <w:r>
        <w:rPr>
          <w:b/>
          <w:bCs/>
          <w:color w:val="0F2E4C"/>
        </w:rPr>
        <w:t xml:space="preserve">Employment Instability:</w:t>
      </w:r>
      <w:r>
        <w:t xml:space="preserve"> The unemployed segment carries the highest risk, with an observed delinquency rate of ~19.3%, compared to ~14.8% for standard employed customers.</w:t>
      </w:r>
    </w:p>
    <w:p>
      <w:pPr>
        <w:pStyle w:val="ListParagraph"/>
        <w:numPr>
          <w:ilvl w:val="0"/>
          <w:numId w:val="2"/>
        </w:numPr>
        <w:spacing w:after="80"/>
      </w:pPr>
      <w:r>
        <w:rPr>
          <w:b/>
          <w:bCs/>
          <w:color w:val="0F2E4C"/>
        </w:rPr>
        <w:t xml:space="preserve">High Debt &amp; Utilization:</w:t>
      </w:r>
      <w:r>
        <w:t xml:space="preserve"> Elevated Debt to Income Ratio and Credit Utilization consistently push customers toward the high-risk threshold, indicating financial over-extension.</w:t>
      </w:r>
    </w:p>
    <w:p>
      <w:pPr>
        <w:pStyle w:val="Heading2"/>
      </w:pPr>
      <w:r>
        <w:rPr>
          <w:b/>
          <w:bCs/>
          <w:color w:val="1F7A8C"/>
        </w:rPr>
        <w:t xml:space="preserve">Key Insights Summary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880"/>
      </w:tblGrid>
      <w:tr>
        <w:trPr>
          <w:tblHeader/>
        </w:trPr>
        <w:tc>
          <w:tcPr>
            <w:tcW w:type="dxa" w:w="2400"/>
            <w:tcBorders>
              <w:top w:val="single" w:color="C9D6DF" w:sz="2"/>
              <w:left w:val="single" w:color="C9D6DF" w:sz="2"/>
              <w:bottom w:val="single" w:color="C9D6DF" w:sz="2"/>
              <w:right w:val="single" w:color="C9D6DF" w:sz="2"/>
            </w:tcBorders>
            <w:shd w:fill="0F2E4C" w:val="clear"/>
            <w:tcMar>
              <w:top w:type="dxa" w:w="100"/>
              <w:left w:type="dxa" w:w="140"/>
              <w:bottom w:type="dxa" w:w="100"/>
              <w:right w:type="dxa" w:w="140"/>
            </w:tcMar>
            <w:vAlign w:val="center"/>
          </w:tcPr>
          <w:p>
            <w:pPr>
              <w:spacing w:after="0"/>
            </w:pPr>
            <w:r>
              <w:rPr>
                <w:b/>
                <w:bCs/>
                <w:color w:val="FFFFFF"/>
                <w:sz w:val="21"/>
                <w:szCs w:val="21"/>
              </w:rPr>
              <w:t xml:space="preserve">Key Insight from Model</w:t>
            </w:r>
          </w:p>
        </w:tc>
        <w:tc>
          <w:tcPr>
            <w:tcW w:type="dxa" w:w="2280"/>
            <w:tcBorders>
              <w:top w:val="single" w:color="C9D6DF" w:sz="2"/>
              <w:left w:val="single" w:color="C9D6DF" w:sz="2"/>
              <w:bottom w:val="single" w:color="C9D6DF" w:sz="2"/>
              <w:right w:val="single" w:color="C9D6DF" w:sz="2"/>
            </w:tcBorders>
            <w:shd w:fill="0F2E4C" w:val="clear"/>
            <w:tcMar>
              <w:top w:type="dxa" w:w="100"/>
              <w:left w:type="dxa" w:w="140"/>
              <w:bottom w:type="dxa" w:w="100"/>
              <w:right w:type="dxa" w:w="140"/>
            </w:tcMar>
            <w:vAlign w:val="center"/>
          </w:tcPr>
          <w:p>
            <w:pPr>
              <w:spacing w:after="0"/>
            </w:pPr>
            <w:r>
              <w:rPr>
                <w:b/>
                <w:bCs/>
                <w:color w:val="FFFFFF"/>
                <w:sz w:val="21"/>
                <w:szCs w:val="21"/>
              </w:rPr>
              <w:t xml:space="preserve">Customer Segment</w:t>
            </w:r>
          </w:p>
        </w:tc>
        <w:tc>
          <w:tcPr>
            <w:tcW w:type="dxa" w:w="2280"/>
            <w:tcBorders>
              <w:top w:val="single" w:color="C9D6DF" w:sz="2"/>
              <w:left w:val="single" w:color="C9D6DF" w:sz="2"/>
              <w:bottom w:val="single" w:color="C9D6DF" w:sz="2"/>
              <w:right w:val="single" w:color="C9D6DF" w:sz="2"/>
            </w:tcBorders>
            <w:shd w:fill="0F2E4C" w:val="clear"/>
            <w:tcMar>
              <w:top w:type="dxa" w:w="100"/>
              <w:left w:type="dxa" w:w="140"/>
              <w:bottom w:type="dxa" w:w="100"/>
              <w:right w:type="dxa" w:w="140"/>
            </w:tcMar>
            <w:vAlign w:val="center"/>
          </w:tcPr>
          <w:p>
            <w:pPr>
              <w:spacing w:after="0"/>
            </w:pPr>
            <w:r>
              <w:rPr>
                <w:b/>
                <w:bCs/>
                <w:color w:val="FFFFFF"/>
                <w:sz w:val="21"/>
                <w:szCs w:val="21"/>
              </w:rPr>
              <w:t xml:space="preserve">Influencing Variables</w:t>
            </w:r>
          </w:p>
        </w:tc>
        <w:tc>
          <w:tcPr>
            <w:tcW w:type="dxa" w:w="2880"/>
            <w:tcBorders>
              <w:top w:val="single" w:color="C9D6DF" w:sz="2"/>
              <w:left w:val="single" w:color="C9D6DF" w:sz="2"/>
              <w:bottom w:val="single" w:color="C9D6DF" w:sz="2"/>
              <w:right w:val="single" w:color="C9D6DF" w:sz="2"/>
            </w:tcBorders>
            <w:shd w:fill="0F2E4C" w:val="clear"/>
            <w:tcMar>
              <w:top w:type="dxa" w:w="100"/>
              <w:left w:type="dxa" w:w="140"/>
              <w:bottom w:type="dxa" w:w="100"/>
              <w:right w:type="dxa" w:w="140"/>
            </w:tcMar>
            <w:vAlign w:val="center"/>
          </w:tcPr>
          <w:p>
            <w:pPr>
              <w:spacing w:after="0"/>
            </w:pPr>
            <w:r>
              <w:rPr>
                <w:b/>
                <w:bCs/>
                <w:color w:val="FFFFFF"/>
                <w:sz w:val="21"/>
                <w:szCs w:val="21"/>
              </w:rPr>
              <w:t xml:space="preserve">Potential Impact</w:t>
            </w:r>
          </w:p>
        </w:tc>
      </w:tr>
      <w:tr>
        <w:tc>
          <w:tcPr>
            <w:tcW w:type="dxa" w:w="24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Employment-Driven Risk</w:t>
            </w:r>
          </w:p>
        </w:tc>
        <w:tc>
          <w:tcPr>
            <w:tcW w:type="dxa" w:w="228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Unemployed &amp; Self-Employed Customers</w:t>
            </w:r>
          </w:p>
        </w:tc>
        <w:tc>
          <w:tcPr>
            <w:tcW w:type="dxa" w:w="228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Employment Status, Income</w:t>
            </w:r>
          </w:p>
        </w:tc>
        <w:tc>
          <w:tcPr>
            <w:tcW w:type="dxa" w:w="288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Proactive restructuring of payment plans during periods of income loss.</w:t>
            </w:r>
          </w:p>
        </w:tc>
      </w:tr>
      <w:tr>
        <w:tc>
          <w:tcPr>
            <w:tcW w:type="dxa" w:w="24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Credit Over-Extension</w:t>
            </w:r>
          </w:p>
        </w:tc>
        <w:tc>
          <w:tcPr>
            <w:tcW w:type="dxa" w:w="228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Customers with high credit usage</w:t>
            </w:r>
          </w:p>
        </w:tc>
        <w:tc>
          <w:tcPr>
            <w:tcW w:type="dxa" w:w="228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Credit Utilization, Debt to income Ratio</w:t>
            </w:r>
          </w:p>
        </w:tc>
        <w:tc>
          <w:tcPr>
            <w:tcW w:type="dxa" w:w="288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Implement early-warning communication before limits are maxed out.</w:t>
            </w:r>
          </w:p>
        </w:tc>
      </w:tr>
    </w:tbl>
    <w:p>
      <w:pPr>
        <w:spacing w:after="160"/>
      </w:pPr>
    </w:p>
    <w:p>
      <w:pPr>
        <w:pStyle w:val="Heading1"/>
      </w:pPr>
      <w:r>
        <w:rPr>
          <w:b/>
          <w:bCs/>
          <w:color w:val="0F2E4C"/>
        </w:rPr>
        <w:t xml:space="preserve">2. Recommendation Framework</w:t>
      </w:r>
    </w:p>
    <w:p>
      <w:r>
        <w:t xml:space="preserve">Based on the insight that </w:t>
      </w:r>
      <w:r>
        <w:rPr>
          <w:b/>
          <w:bCs/>
          <w:color w:val="0F2E4C"/>
        </w:rPr>
        <w:t xml:space="preserve">Employment-Driven Risk (specifically unemployment)</w:t>
      </w:r>
      <w:r>
        <w:t xml:space="preserve"> carries the highest delinquency rate, we recommend moving away from reactive collections and toward proactive assistance.</w:t>
      </w:r>
    </w:p>
    <w:p>
      <w:pPr>
        <w:pStyle w:val="ListParagraph"/>
        <w:numPr>
          <w:ilvl w:val="0"/>
          <w:numId w:val="2"/>
        </w:numPr>
        <w:spacing w:after="80"/>
      </w:pPr>
      <w:r>
        <w:rPr>
          <w:b/>
          <w:bCs/>
          <w:color w:val="0F2E4C"/>
        </w:rPr>
        <w:t xml:space="preserve">Restated Insight:</w:t>
      </w:r>
      <w:r>
        <w:t xml:space="preserve"> Customers categorized as “Unemployed” have a ~19.3% delinquency rate, making them the most vulnerable segment to miss payments within the 30-day window.</w:t>
      </w:r>
    </w:p>
    <w:p>
      <w:pPr>
        <w:pStyle w:val="ListParagraph"/>
        <w:numPr>
          <w:ilvl w:val="0"/>
          <w:numId w:val="2"/>
        </w:numPr>
        <w:spacing w:after="80"/>
      </w:pPr>
      <w:r>
        <w:rPr>
          <w:b/>
          <w:bCs/>
          <w:color w:val="0F2E4C"/>
        </w:rPr>
        <w:t xml:space="preserve">Proposed Recommendation:</w:t>
      </w:r>
      <w:r>
        <w:t xml:space="preserve"> Launch a proactive “Hardship Assistance” SMS and email campaign targeting unemployed customers, offering temporary flexible payment options.</w:t>
      </w:r>
    </w:p>
    <w:p>
      <w:pPr>
        <w:pStyle w:val="Heading2"/>
      </w:pPr>
      <w:r>
        <w:rPr>
          <w:b/>
          <w:bCs/>
          <w:color w:val="1F7A8C"/>
        </w:rPr>
        <w:t xml:space="preserve">SMART Breakdown: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rPr>
          <w:tblHeader/>
        </w:trPr>
        <w:tc>
          <w:tcPr>
            <w:tcW w:type="dxa" w:w="2000"/>
            <w:tcBorders>
              <w:top w:val="single" w:color="C9D6DF" w:sz="2"/>
              <w:left w:val="single" w:color="C9D6DF" w:sz="2"/>
              <w:bottom w:val="single" w:color="C9D6DF" w:sz="2"/>
              <w:right w:val="single" w:color="C9D6DF" w:sz="2"/>
            </w:tcBorders>
            <w:shd w:fill="0F2E4C" w:val="clear"/>
            <w:tcMar>
              <w:top w:type="dxa" w:w="100"/>
              <w:left w:type="dxa" w:w="140"/>
              <w:bottom w:type="dxa" w:w="100"/>
              <w:right w:type="dxa" w:w="140"/>
            </w:tcMar>
            <w:vAlign w:val="center"/>
          </w:tcPr>
          <w:p>
            <w:pPr>
              <w:spacing w:after="0"/>
            </w:pPr>
            <w:r>
              <w:rPr>
                <w:b/>
                <w:bCs/>
                <w:color w:val="FFFFFF"/>
                <w:sz w:val="21"/>
                <w:szCs w:val="21"/>
              </w:rPr>
              <w:t xml:space="preserve">Criteria</w:t>
            </w:r>
          </w:p>
        </w:tc>
        <w:tc>
          <w:tcPr>
            <w:tcW w:type="dxa" w:w="7840"/>
            <w:tcBorders>
              <w:top w:val="single" w:color="C9D6DF" w:sz="2"/>
              <w:left w:val="single" w:color="C9D6DF" w:sz="2"/>
              <w:bottom w:val="single" w:color="C9D6DF" w:sz="2"/>
              <w:right w:val="single" w:color="C9D6DF" w:sz="2"/>
            </w:tcBorders>
            <w:shd w:fill="0F2E4C" w:val="clear"/>
            <w:tcMar>
              <w:top w:type="dxa" w:w="100"/>
              <w:left w:type="dxa" w:w="140"/>
              <w:bottom w:type="dxa" w:w="100"/>
              <w:right w:type="dxa" w:w="140"/>
            </w:tcMar>
            <w:vAlign w:val="center"/>
          </w:tcPr>
          <w:p>
            <w:pPr>
              <w:spacing w:after="0"/>
            </w:pPr>
            <w:r>
              <w:rPr>
                <w:b/>
                <w:bCs/>
                <w:color w:val="FFFFFF"/>
                <w:sz w:val="21"/>
                <w:szCs w:val="21"/>
              </w:rPr>
              <w:t xml:space="preserve">Detail</w:t>
            </w:r>
          </w:p>
        </w:tc>
      </w:tr>
      <w:tr>
        <w:tc>
          <w:tcPr>
            <w:tcW w:type="dxa" w:w="20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Specific</w:t>
            </w:r>
          </w:p>
        </w:tc>
        <w:tc>
          <w:tcPr>
            <w:tcW w:type="dxa" w:w="784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Target customers officially flagged as 'Unemployed' in the system with an automated outreach offering a 1-month payment deferral or structured hardship plan.</w:t>
            </w:r>
          </w:p>
        </w:tc>
      </w:tr>
      <w:tr>
        <w:tc>
          <w:tcPr>
            <w:tcW w:type="dxa" w:w="20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Measurable</w:t>
            </w:r>
          </w:p>
        </w:tc>
        <w:tc>
          <w:tcPr>
            <w:tcW w:type="dxa" w:w="784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Track the adoption rate of the hardship plan and aim to reduce the 30-day delinquency rate within this specific segment by 15%.</w:t>
            </w:r>
          </w:p>
        </w:tc>
      </w:tr>
      <w:tr>
        <w:tc>
          <w:tcPr>
            <w:tcW w:type="dxa" w:w="20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Actionable</w:t>
            </w:r>
          </w:p>
        </w:tc>
        <w:tc>
          <w:tcPr>
            <w:tcW w:type="dxa" w:w="784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The Collections team can easily configure the existing CRM to automate SMS/Email outreach based on the Employment Status variable.</w:t>
            </w:r>
          </w:p>
        </w:tc>
      </w:tr>
      <w:tr>
        <w:tc>
          <w:tcPr>
            <w:tcW w:type="dxa" w:w="20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Relevant</w:t>
            </w:r>
          </w:p>
        </w:tc>
        <w:tc>
          <w:tcPr>
            <w:tcW w:type="dxa" w:w="784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This directly addresses the highest-risk segment identified by our model, aligning with Geldium's goal of reducing overall delinquency while supporting customer retention.</w:t>
            </w:r>
          </w:p>
        </w:tc>
      </w:tr>
      <w:tr>
        <w:tc>
          <w:tcPr>
            <w:tcW w:type="dxa" w:w="200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b/>
                <w:bCs/>
                <w:color w:val="0F2E4C"/>
                <w:sz w:val="21"/>
                <w:szCs w:val="21"/>
              </w:rPr>
              <w:t xml:space="preserve">Time-bound</w:t>
            </w:r>
          </w:p>
        </w:tc>
        <w:tc>
          <w:tcPr>
            <w:tcW w:type="dxa" w:w="7840"/>
            <w:tcBorders>
              <w:top w:val="single" w:color="C9D6DF" w:sz="2"/>
              <w:left w:val="single" w:color="C9D6DF" w:sz="2"/>
              <w:bottom w:val="single" w:color="C9D6DF" w:sz="2"/>
              <w:right w:val="single" w:color="C9D6DF" w:sz="2"/>
            </w:tcBorders>
            <w:shd w:fill="FFFFFF" w:val="clear"/>
            <w:tcMar>
              <w:top w:type="dxa" w:w="100"/>
              <w:left w:type="dxa" w:w="140"/>
              <w:bottom w:type="dxa" w:w="100"/>
              <w:right w:type="dxa" w:w="140"/>
            </w:tcMar>
            <w:vAlign w:val="center"/>
          </w:tcPr>
          <w:p>
            <w:pPr>
              <w:spacing w:after="0"/>
            </w:pPr>
            <w:r>
              <w:rPr>
                <w:sz w:val="21"/>
                <w:szCs w:val="21"/>
              </w:rPr>
              <w:t xml:space="preserve">Pilot the automated outreach campaign for 8 weeks and review performance metrics.</w:t>
            </w:r>
          </w:p>
        </w:tc>
      </w:tr>
    </w:tbl>
    <w:p>
      <w:pPr>
        <w:spacing w:after="160"/>
      </w:pPr>
    </w:p>
    <w:p>
      <w:pPr>
        <w:pStyle w:val="Heading2"/>
      </w:pPr>
      <w:r>
        <w:rPr>
          <w:b/>
          <w:bCs/>
          <w:color w:val="1F7A8C"/>
        </w:rPr>
        <w:t xml:space="preserve">Justification and Business Rationale:</w:t>
      </w:r>
    </w:p>
    <w:tbl>
      <w:tblPr>
        <w:tblW w:type="dxa" w:w="9840"/>
        <w:tblBorders>
          <w:top w:val="none" w:color="FFFFFF" w:sz="0"/>
          <w:left w:val="single" w:color="1F7A8C" w:sz="18"/>
          <w:bottom w:val="none" w:color="FFFFFF" w:sz="0"/>
          <w:right w:val="none" w:color="FFFFFF" w:sz="0"/>
          <w:insideH w:val="none" w:color="FFFFFF" w:sz="0"/>
          <w:insideV w:val="none" w:color="FFFFFF" w:sz="0"/>
        </w:tblBorders>
      </w:tblPr>
      <w:tblGrid>
        <w:gridCol w:w="9840"/>
      </w:tblGrid>
      <w:tr>
        <w:tc>
          <w:tcPr>
            <w:tcW w:type="dxa" w:w="9840"/>
            <w:shd w:fill="EAF1F5" w:val="clear"/>
            <w:tcMar>
              <w:top w:type="dxa" w:w="160"/>
              <w:left w:type="dxa" w:w="240"/>
              <w:bottom w:type="dxa" w:w="160"/>
              <w:right w:type="dxa" w:w="240"/>
            </w:tcMar>
          </w:tcPr>
          <w:p>
            <w:r>
              <w:t xml:space="preserve">Offering a hardship plan </w:t>
            </w:r>
            <w:r>
              <w:rPr>
                <w:i/>
                <w:iCs/>
              </w:rPr>
              <w:t xml:space="preserve">before</w:t>
            </w:r>
            <w:r>
              <w:t xml:space="preserve"> the customer defaults is more cost-effective than deploying resources to collect debt </w:t>
            </w:r>
            <w:r>
              <w:rPr>
                <w:i/>
                <w:iCs/>
              </w:rPr>
              <w:t xml:space="preserve">after</w:t>
            </w:r>
            <w:r>
              <w:t xml:space="preserve"> the account becomes delinquent. It improves the customer experience during a stressful time, building long-term loyalty while securing Geldium's assets.</w:t>
            </w:r>
          </w:p>
        </w:tc>
      </w:tr>
    </w:tbl>
    <w:p>
      <w:pPr>
        <w:spacing w:after="160"/>
      </w:pPr>
    </w:p>
    <w:p>
      <w:pPr>
        <w:pStyle w:val="Heading1"/>
      </w:pPr>
      <w:r>
        <w:rPr>
          <w:b/>
          <w:bCs/>
          <w:color w:val="0F2E4C"/>
        </w:rPr>
        <w:t xml:space="preserve">3. Ethical and Responsible AI Considerations</w:t>
      </w:r>
    </w:p>
    <w:p>
      <w:r>
        <w:t xml:space="preserve">As Geldium transitions to AI-driven decision-making, we must ensure our predictive models are fair, transparent, and do not unintentionally harm vulnerable populations.</w:t>
      </w:r>
    </w:p>
    <w:p>
      <w:pPr>
        <w:pStyle w:val="ListParagraph"/>
        <w:numPr>
          <w:ilvl w:val="0"/>
          <w:numId w:val="2"/>
        </w:numPr>
        <w:spacing w:after="80"/>
      </w:pPr>
      <w:r>
        <w:rPr>
          <w:b/>
          <w:bCs/>
          <w:color w:val="0F2E4C"/>
        </w:rPr>
        <w:t xml:space="preserve">Potential for Bias &amp; Mitigation:</w:t>
      </w:r>
    </w:p>
    <w:p>
      <w:pPr>
        <w:pStyle w:val="ListParagraph"/>
        <w:numPr>
          <w:ilvl w:val="1"/>
          <w:numId w:val="2"/>
        </w:numPr>
        <w:spacing w:after="80"/>
      </w:pPr>
      <w:r>
        <w:rPr>
          <w:i/>
          <w:iCs/>
        </w:rPr>
        <w:t xml:space="preserve">Risk:</w:t>
      </w:r>
      <w:r>
        <w:t xml:space="preserve"> The model might introduce </w:t>
      </w:r>
      <w:r>
        <w:rPr>
          <w:i/>
          <w:iCs/>
        </w:rPr>
        <w:t xml:space="preserve">Selection Bias</w:t>
      </w:r>
      <w:r>
        <w:t xml:space="preserve"> or unfairly penalize certain demographics (e.g., younger users or those in specific Locations) if historical data was skewed.</w:t>
      </w:r>
    </w:p>
    <w:p>
      <w:pPr>
        <w:pStyle w:val="ListParagraph"/>
        <w:numPr>
          <w:ilvl w:val="1"/>
          <w:numId w:val="2"/>
        </w:numPr>
        <w:spacing w:after="80"/>
      </w:pPr>
      <w:r>
        <w:rPr>
          <w:i/>
          <w:iCs/>
        </w:rPr>
        <w:t xml:space="preserve">Mitigation:</w:t>
      </w:r>
      <w:r>
        <w:t xml:space="preserve"> We will conduct a Disparate Impact analysis on the model's outputs. If the model disproportionately targets a specific ZIP code or age group without strong financial backing variables, we will remove those proxy variables.</w:t>
      </w:r>
    </w:p>
    <w:p>
      <w:pPr>
        <w:pStyle w:val="ListParagraph"/>
        <w:numPr>
          <w:ilvl w:val="0"/>
          <w:numId w:val="2"/>
        </w:numPr>
        <w:spacing w:after="80"/>
      </w:pPr>
      <w:r>
        <w:rPr>
          <w:b/>
          <w:bCs/>
          <w:color w:val="0F2E4C"/>
        </w:rPr>
        <w:t xml:space="preserve">Explainability:</w:t>
      </w:r>
      <w:r>
        <w:t xml:space="preserve"> We selected a Logistic Regression model specifically for its high interpretability. Unlike complex “black box” neural networks, we can easily explain to stakeholders—and customers, if required—exactly which factors (e.g., high debt-to-income ratio) led to a high-risk prediction.</w:t>
      </w:r>
    </w:p>
    <w:p>
      <w:pPr>
        <w:pStyle w:val="ListParagraph"/>
        <w:numPr>
          <w:ilvl w:val="0"/>
          <w:numId w:val="2"/>
        </w:numPr>
        <w:spacing w:after="80"/>
      </w:pPr>
      <w:r>
        <w:rPr>
          <w:b/>
          <w:bCs/>
          <w:color w:val="0F2E4C"/>
        </w:rPr>
        <w:t xml:space="preserve">Responsible Decision Making:</w:t>
      </w:r>
      <w:r>
        <w:t xml:space="preserve"> The recommended action (offering hardship support) is proportionate to the risk. Instead of punitive measures (like aggressively cutting credit limits), we are using AI predictions to offer supportive interventions, aligning with ethical financial practices and maintaining customer trust.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A"/>
        <w:sz w:val="18"/>
        <w:szCs w:val="18"/>
      </w:rPr>
      <w:t xml:space="preserve">Page </w:t>
    </w:r>
    <w:r>
      <w:rPr>
        <w:color w:val="5A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F" w:sz="4" w:space="4"/>
      </w:pBdr>
      <w:jc w:val="right"/>
    </w:pPr>
    <w:r>
      <w:rPr>
        <w:b/>
        <w:bCs/>
        <w:color w:val="5A6B7A"/>
        <w:sz w:val="18"/>
        <w:szCs w:val="18"/>
      </w:rPr>
      <w:t xml:space="preserve">Business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rPr>
        <w:color w:val="1F7A8C"/>
      </w:rPr>
    </w:lvl>
    <w:lvl w:ilvl="1" w15:tentative="1">
      <w:start w:val="1"/>
      <w:numFmt w:val="bullet"/>
      <w:lvlText w:val="–"/>
      <w:lvlJc w:val="left"/>
      <w:pPr>
        <w:ind w:left="1000" w:hanging="260"/>
      </w:pPr>
      <w:rPr>
        <w:color w:val="5A6B7A"/>
      </w:rPr>
    </w:lvl>
  </w:abstractNum>
  <w:abstractNum w:abstractNumId="3" w15:restartNumberingAfterBreak="0">
    <w:multiLevelType w:val="hybridMultilevel"/>
    <w:lvl w:ilvl="0" w15:tentative="1">
      <w:start w:val="1"/>
      <w:numFmt w:val="decimal"/>
      <w:lvlText w:val="%1."/>
      <w:lvlJc w:val="left"/>
      <w:pPr>
        <w:ind w:left="500" w:hanging="300"/>
      </w:pPr>
      <w:rPr>
        <w:b/>
        <w:bCs/>
        <w:color w:val="0F2E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8C" w:sz="8" w:space="6"/>
      </w:pBdr>
      <w:spacing w:after="160" w:before="320"/>
      <w:outlineLvl w:val="0"/>
    </w:pPr>
    <w:rPr>
      <w:rFonts w:ascii="Calibri" w:cs="Calibri" w:eastAsia="Calibri" w:hAnsi="Calibri"/>
      <w:b/>
      <w:bCs/>
      <w:color w:val="0F2E4C"/>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7A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2026-08-16T12:24:56.198Z</dcterms:created>
  <dcterms:modified xsi:type="dcterms:W3CDTF">2026-08-16T12:24:56.198Z</dcterms:modified>
</cp:coreProperties>
</file>

<file path=docProps/custom.xml><?xml version="1.0" encoding="utf-8"?>
<Properties xmlns="http://schemas.openxmlformats.org/officeDocument/2006/custom-properties" xmlns:vt="http://schemas.openxmlformats.org/officeDocument/2006/docPropsVTypes"/>
</file>