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840" w:type="dxa"/>
        <w:tblBorders>
          <w:top w:val="none" w:sz="0" w:space="0" w:color="FFFFFF"/>
          <w:left w:val="none" w:sz="0" w:space="0" w:color="FFFFFF"/>
          <w:bottom w:val="single" w:sz="18" w:space="0" w:color="1F7A8C"/>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40"/>
      </w:tblGrid>
      <w:tr w:rsidR="006C6CB3" w14:paraId="32A1B9D4" w14:textId="77777777">
        <w:tblPrEx>
          <w:tblCellMar>
            <w:top w:w="0" w:type="dxa"/>
            <w:bottom w:w="0" w:type="dxa"/>
          </w:tblCellMar>
        </w:tblPrEx>
        <w:tc>
          <w:tcPr>
            <w:tcW w:w="9840" w:type="dxa"/>
            <w:shd w:val="clear" w:color="auto" w:fill="0F2E4C"/>
            <w:tcMar>
              <w:top w:w="320" w:type="dxa"/>
              <w:left w:w="320" w:type="dxa"/>
              <w:bottom w:w="320" w:type="dxa"/>
              <w:right w:w="320" w:type="dxa"/>
            </w:tcMar>
          </w:tcPr>
          <w:p w14:paraId="2D5DAEA8" w14:textId="77777777" w:rsidR="006C6CB3" w:rsidRDefault="00000000">
            <w:pPr>
              <w:spacing w:after="60"/>
            </w:pPr>
            <w:r>
              <w:rPr>
                <w:b/>
                <w:bCs/>
                <w:color w:val="9FD3DD"/>
                <w:spacing w:val="40"/>
                <w:sz w:val="18"/>
                <w:szCs w:val="18"/>
              </w:rPr>
              <w:t>GELDIUM | TATA IQ ANALYTICS</w:t>
            </w:r>
          </w:p>
          <w:p w14:paraId="7E022065" w14:textId="77777777" w:rsidR="006C6CB3" w:rsidRDefault="00000000">
            <w:pPr>
              <w:spacing w:after="0"/>
            </w:pPr>
            <w:r>
              <w:rPr>
                <w:b/>
                <w:bCs/>
                <w:color w:val="FFFFFF"/>
                <w:sz w:val="40"/>
                <w:szCs w:val="40"/>
              </w:rPr>
              <w:t>Exploratory Data Analysis (EDA) Summary Report</w:t>
            </w:r>
          </w:p>
        </w:tc>
      </w:tr>
    </w:tbl>
    <w:p w14:paraId="0162CC84" w14:textId="77777777" w:rsidR="006C6CB3" w:rsidRDefault="006C6CB3">
      <w:pPr>
        <w:spacing w:after="200"/>
      </w:pPr>
    </w:p>
    <w:p w14:paraId="464C96E8" w14:textId="77777777" w:rsidR="006C6CB3" w:rsidRDefault="00000000">
      <w:pPr>
        <w:pStyle w:val="Heading1"/>
      </w:pPr>
      <w:r>
        <w:t>1. Introduction</w:t>
      </w:r>
    </w:p>
    <w:p w14:paraId="0346098B" w14:textId="77777777" w:rsidR="006C6CB3" w:rsidRDefault="00000000">
      <w:r>
        <w:t xml:space="preserve">The primary goal of this report is to conduct an Exploratory Data Analysis (EDA) on </w:t>
      </w:r>
      <w:proofErr w:type="spellStart"/>
      <w:r>
        <w:t>Geldium's</w:t>
      </w:r>
      <w:proofErr w:type="spellEnd"/>
      <w:r>
        <w:t xml:space="preserve"> dataset to ensure data completeness, identify missing values, and uncover potential anomalies. This foundational analysis will help the Tata </w:t>
      </w:r>
      <w:proofErr w:type="spellStart"/>
      <w:r>
        <w:t>iQ</w:t>
      </w:r>
      <w:proofErr w:type="spellEnd"/>
      <w:r>
        <w:t xml:space="preserve"> analytics team build a more robust and accurate AI-driven predictive model for credit card delinquency.</w:t>
      </w:r>
    </w:p>
    <w:p w14:paraId="30E8CE79" w14:textId="77777777" w:rsidR="006C6CB3" w:rsidRDefault="00000000">
      <w:pPr>
        <w:pStyle w:val="Heading1"/>
      </w:pPr>
      <w:r>
        <w:t>2. Dataset Overview</w:t>
      </w:r>
    </w:p>
    <w:p w14:paraId="6E45BB8B" w14:textId="77777777" w:rsidR="006C6CB3" w:rsidRDefault="00000000">
      <w:r>
        <w:t>This section summarizes the initial review of the dataset, highlighting its structure and the inconsistencies found during exploration.</w:t>
      </w:r>
    </w:p>
    <w:p w14:paraId="0438AE33" w14:textId="77777777" w:rsidR="006C6CB3" w:rsidRDefault="00000000">
      <w:pPr>
        <w:spacing w:before="120" w:after="80"/>
      </w:pPr>
      <w:r>
        <w:rPr>
          <w:i/>
          <w:iCs/>
          <w:color w:val="5A6B7A"/>
        </w:rPr>
        <w:t>Key dataset attributes:</w:t>
      </w:r>
    </w:p>
    <w:p w14:paraId="0D7F80D2" w14:textId="77777777" w:rsidR="006C6CB3" w:rsidRDefault="00000000">
      <w:pPr>
        <w:pStyle w:val="ListParagraph"/>
        <w:numPr>
          <w:ilvl w:val="0"/>
          <w:numId w:val="2"/>
        </w:numPr>
        <w:spacing w:after="80"/>
      </w:pPr>
      <w:r>
        <w:rPr>
          <w:b/>
          <w:bCs/>
          <w:color w:val="0F2E4C"/>
        </w:rPr>
        <w:t>Number of records:</w:t>
      </w:r>
      <w:r>
        <w:t xml:space="preserve"> 500 rows and 19 columns.</w:t>
      </w:r>
    </w:p>
    <w:p w14:paraId="6F7DA4CB" w14:textId="541C6F1F" w:rsidR="006C6CB3" w:rsidRDefault="00000000">
      <w:pPr>
        <w:pStyle w:val="ListParagraph"/>
        <w:numPr>
          <w:ilvl w:val="0"/>
          <w:numId w:val="2"/>
        </w:numPr>
        <w:spacing w:after="80"/>
      </w:pPr>
      <w:r>
        <w:rPr>
          <w:b/>
          <w:bCs/>
          <w:color w:val="0F2E4C"/>
        </w:rPr>
        <w:t>Key variables:</w:t>
      </w:r>
      <w:r>
        <w:t xml:space="preserve"> Customer</w:t>
      </w:r>
      <w:r w:rsidR="00061EDD">
        <w:t xml:space="preserve"> </w:t>
      </w:r>
      <w:r>
        <w:t>ID, Income, Credit</w:t>
      </w:r>
      <w:r w:rsidR="00061EDD">
        <w:t xml:space="preserve"> </w:t>
      </w:r>
      <w:r>
        <w:t>Score, Credit</w:t>
      </w:r>
      <w:r w:rsidR="00061EDD">
        <w:t xml:space="preserve"> </w:t>
      </w:r>
      <w:r>
        <w:t>Utilization, Loan</w:t>
      </w:r>
      <w:r w:rsidR="00061EDD">
        <w:t xml:space="preserve"> </w:t>
      </w:r>
      <w:r>
        <w:t>Balance, Debt</w:t>
      </w:r>
      <w:r w:rsidR="00061EDD">
        <w:t xml:space="preserve"> </w:t>
      </w:r>
      <w:r>
        <w:t>to</w:t>
      </w:r>
      <w:r w:rsidR="00061EDD">
        <w:t xml:space="preserve"> </w:t>
      </w:r>
      <w:r>
        <w:t>Income</w:t>
      </w:r>
      <w:r w:rsidR="00061EDD">
        <w:t xml:space="preserve"> </w:t>
      </w:r>
      <w:r>
        <w:t>Ratio, Employment</w:t>
      </w:r>
      <w:r w:rsidR="00061EDD">
        <w:t xml:space="preserve"> </w:t>
      </w:r>
      <w:r>
        <w:t>Status, Delinquent</w:t>
      </w:r>
      <w:r w:rsidR="00061EDD">
        <w:t xml:space="preserve"> </w:t>
      </w:r>
      <w:r>
        <w:t>Account, and recent payment history (Month_1 to Month_6).</w:t>
      </w:r>
    </w:p>
    <w:p w14:paraId="4227FBE7" w14:textId="77777777" w:rsidR="006C6CB3" w:rsidRDefault="00000000">
      <w:pPr>
        <w:pStyle w:val="ListParagraph"/>
        <w:numPr>
          <w:ilvl w:val="0"/>
          <w:numId w:val="2"/>
        </w:numPr>
        <w:spacing w:after="80"/>
      </w:pPr>
      <w:r>
        <w:rPr>
          <w:b/>
          <w:bCs/>
          <w:color w:val="0F2E4C"/>
        </w:rPr>
        <w:t>Data types:</w:t>
      </w:r>
    </w:p>
    <w:p w14:paraId="12F7A603" w14:textId="660DC9C3" w:rsidR="006C6CB3" w:rsidRDefault="00000000">
      <w:pPr>
        <w:pStyle w:val="ListParagraph"/>
        <w:numPr>
          <w:ilvl w:val="1"/>
          <w:numId w:val="2"/>
        </w:numPr>
        <w:spacing w:after="80"/>
      </w:pPr>
      <w:r>
        <w:rPr>
          <w:b/>
          <w:bCs/>
          <w:color w:val="0F2E4C"/>
        </w:rPr>
        <w:t>Numerical:</w:t>
      </w:r>
      <w:r>
        <w:t xml:space="preserve"> Age, Income, Credit</w:t>
      </w:r>
      <w:r w:rsidR="00061EDD">
        <w:t xml:space="preserve"> </w:t>
      </w:r>
      <w:r>
        <w:t>Score, Credit</w:t>
      </w:r>
      <w:r w:rsidR="00061EDD">
        <w:t xml:space="preserve"> </w:t>
      </w:r>
      <w:r>
        <w:t>Utilization, Missed</w:t>
      </w:r>
      <w:r w:rsidR="00061EDD">
        <w:t xml:space="preserve"> </w:t>
      </w:r>
      <w:r>
        <w:t>Payments, Loan</w:t>
      </w:r>
      <w:r w:rsidR="00061EDD">
        <w:t xml:space="preserve"> </w:t>
      </w:r>
      <w:r>
        <w:t>Balance, Debt</w:t>
      </w:r>
      <w:r w:rsidR="00061EDD">
        <w:t xml:space="preserve"> </w:t>
      </w:r>
      <w:r>
        <w:t>to</w:t>
      </w:r>
      <w:r w:rsidR="00061EDD">
        <w:t xml:space="preserve"> </w:t>
      </w:r>
      <w:r>
        <w:t>Income</w:t>
      </w:r>
      <w:r w:rsidR="00061EDD">
        <w:t xml:space="preserve"> </w:t>
      </w:r>
      <w:r>
        <w:t>Ratio, Account</w:t>
      </w:r>
      <w:r w:rsidR="00061EDD">
        <w:t xml:space="preserve"> </w:t>
      </w:r>
      <w:r>
        <w:t>Tenure.</w:t>
      </w:r>
    </w:p>
    <w:p w14:paraId="41A87371" w14:textId="028971C5" w:rsidR="006C6CB3" w:rsidRDefault="00000000">
      <w:pPr>
        <w:pStyle w:val="ListParagraph"/>
        <w:numPr>
          <w:ilvl w:val="1"/>
          <w:numId w:val="2"/>
        </w:numPr>
        <w:spacing w:after="80"/>
      </w:pPr>
      <w:r>
        <w:rPr>
          <w:b/>
          <w:bCs/>
          <w:color w:val="0F2E4C"/>
        </w:rPr>
        <w:t>Categorical:</w:t>
      </w:r>
      <w:r>
        <w:t xml:space="preserve"> Customer</w:t>
      </w:r>
      <w:r w:rsidR="00061EDD">
        <w:t xml:space="preserve"> </w:t>
      </w:r>
      <w:r>
        <w:t>ID, Employment</w:t>
      </w:r>
      <w:r w:rsidR="00061EDD">
        <w:t xml:space="preserve"> </w:t>
      </w:r>
      <w:r>
        <w:t>Status, Credit</w:t>
      </w:r>
      <w:r w:rsidR="00061EDD">
        <w:t xml:space="preserve"> </w:t>
      </w:r>
      <w:r>
        <w:t>Card</w:t>
      </w:r>
      <w:r w:rsidR="00061EDD">
        <w:t xml:space="preserve"> </w:t>
      </w:r>
      <w:r>
        <w:t>Type, Location, Month_1 to Month_6.</w:t>
      </w:r>
    </w:p>
    <w:p w14:paraId="76619249" w14:textId="02EA08E8" w:rsidR="006C6CB3" w:rsidRDefault="00000000">
      <w:pPr>
        <w:pStyle w:val="ListParagraph"/>
        <w:numPr>
          <w:ilvl w:val="0"/>
          <w:numId w:val="2"/>
        </w:numPr>
        <w:spacing w:after="80"/>
      </w:pPr>
      <w:r>
        <w:rPr>
          <w:b/>
          <w:bCs/>
          <w:color w:val="0F2E4C"/>
        </w:rPr>
        <w:t>Anomalies Detected:</w:t>
      </w:r>
      <w:r>
        <w:t xml:space="preserve"> The Employment</w:t>
      </w:r>
      <w:r w:rsidR="00061EDD">
        <w:t xml:space="preserve"> </w:t>
      </w:r>
      <w:r>
        <w:t>Status column contains inconsistent string formatting (e.g., 'EMP', 'Employed', 'employed' all representing the same category).</w:t>
      </w:r>
    </w:p>
    <w:p w14:paraId="1835EB5D" w14:textId="77777777" w:rsidR="006C6CB3" w:rsidRDefault="00000000">
      <w:pPr>
        <w:pStyle w:val="Heading1"/>
      </w:pPr>
      <w:r>
        <w:t>3. Missing Data Analysis</w:t>
      </w:r>
    </w:p>
    <w:p w14:paraId="67931763" w14:textId="77777777" w:rsidR="006C6CB3" w:rsidRDefault="00000000">
      <w:r>
        <w:t>Identifying and addressing missing data is critical to ensuring model accuracy and preventing bias. Below is the breakdown of missing data gaps and the chosen treatment approaches based on industry best practices.</w:t>
      </w:r>
    </w:p>
    <w:p w14:paraId="10F5318C" w14:textId="77777777" w:rsidR="006C6CB3" w:rsidRDefault="00000000">
      <w:pPr>
        <w:spacing w:before="120" w:after="80"/>
      </w:pPr>
      <w:r>
        <w:rPr>
          <w:i/>
          <w:iCs/>
          <w:color w:val="5A6B7A"/>
        </w:rPr>
        <w:t>Key missing data findings:</w:t>
      </w:r>
    </w:p>
    <w:p w14:paraId="297A6FA6" w14:textId="77777777" w:rsidR="006C6CB3" w:rsidRDefault="00000000">
      <w:pPr>
        <w:pStyle w:val="ListParagraph"/>
        <w:numPr>
          <w:ilvl w:val="0"/>
          <w:numId w:val="2"/>
        </w:numPr>
        <w:spacing w:after="80"/>
      </w:pPr>
      <w:r>
        <w:rPr>
          <w:b/>
          <w:bCs/>
          <w:color w:val="0F2E4C"/>
        </w:rPr>
        <w:t>Variables with missing values:</w:t>
      </w:r>
    </w:p>
    <w:p w14:paraId="5919F816" w14:textId="77777777" w:rsidR="006C6CB3" w:rsidRDefault="00000000">
      <w:pPr>
        <w:pStyle w:val="ListParagraph"/>
        <w:numPr>
          <w:ilvl w:val="1"/>
          <w:numId w:val="2"/>
        </w:numPr>
        <w:spacing w:after="80"/>
      </w:pPr>
      <w:r>
        <w:rPr>
          <w:b/>
          <w:bCs/>
          <w:color w:val="0F2E4C"/>
        </w:rPr>
        <w:t>Income:</w:t>
      </w:r>
      <w:r>
        <w:t xml:space="preserve"> Missing 39 values (7.8%)</w:t>
      </w:r>
    </w:p>
    <w:p w14:paraId="544F5A74" w14:textId="66ADD186" w:rsidR="006C6CB3" w:rsidRDefault="00000000">
      <w:pPr>
        <w:pStyle w:val="ListParagraph"/>
        <w:numPr>
          <w:ilvl w:val="1"/>
          <w:numId w:val="2"/>
        </w:numPr>
        <w:spacing w:after="80"/>
      </w:pPr>
      <w:r>
        <w:rPr>
          <w:b/>
          <w:bCs/>
          <w:color w:val="0F2E4C"/>
        </w:rPr>
        <w:lastRenderedPageBreak/>
        <w:t>Loan</w:t>
      </w:r>
      <w:r w:rsidR="00061EDD">
        <w:rPr>
          <w:b/>
          <w:bCs/>
          <w:color w:val="0F2E4C"/>
        </w:rPr>
        <w:t xml:space="preserve"> </w:t>
      </w:r>
      <w:r>
        <w:rPr>
          <w:b/>
          <w:bCs/>
          <w:color w:val="0F2E4C"/>
        </w:rPr>
        <w:t>Balance:</w:t>
      </w:r>
      <w:r>
        <w:t xml:space="preserve"> Missing 29 values (5.8%)</w:t>
      </w:r>
    </w:p>
    <w:p w14:paraId="034DF4A7" w14:textId="3CD1F0BA" w:rsidR="006C6CB3" w:rsidRDefault="00000000">
      <w:pPr>
        <w:pStyle w:val="ListParagraph"/>
        <w:numPr>
          <w:ilvl w:val="1"/>
          <w:numId w:val="2"/>
        </w:numPr>
        <w:spacing w:after="80"/>
      </w:pPr>
      <w:r>
        <w:rPr>
          <w:b/>
          <w:bCs/>
          <w:color w:val="0F2E4C"/>
        </w:rPr>
        <w:t>Credit</w:t>
      </w:r>
      <w:r w:rsidR="00061EDD">
        <w:rPr>
          <w:b/>
          <w:bCs/>
          <w:color w:val="0F2E4C"/>
        </w:rPr>
        <w:t xml:space="preserve"> </w:t>
      </w:r>
      <w:r>
        <w:rPr>
          <w:b/>
          <w:bCs/>
          <w:color w:val="0F2E4C"/>
        </w:rPr>
        <w:t>Score:</w:t>
      </w:r>
      <w:r>
        <w:t xml:space="preserve"> Missing 2 values (0.4%)</w:t>
      </w:r>
    </w:p>
    <w:p w14:paraId="60AF5C58" w14:textId="77777777" w:rsidR="006C6CB3" w:rsidRDefault="006C6CB3">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2500"/>
        <w:gridCol w:w="2500"/>
      </w:tblGrid>
      <w:tr w:rsidR="006C6CB3" w14:paraId="0CDDD97C" w14:textId="77777777">
        <w:tblPrEx>
          <w:tblCellMar>
            <w:top w:w="0" w:type="dxa"/>
            <w:bottom w:w="0" w:type="dxa"/>
          </w:tblCellMar>
        </w:tblPrEx>
        <w:trPr>
          <w:tblHeader/>
        </w:trPr>
        <w:tc>
          <w:tcPr>
            <w:tcW w:w="4440" w:type="dxa"/>
            <w:tcBorders>
              <w:top w:val="single" w:sz="2" w:space="0" w:color="C9D6DF"/>
              <w:left w:val="single" w:sz="2" w:space="0" w:color="C9D6DF"/>
              <w:bottom w:val="single" w:sz="2" w:space="0" w:color="C9D6DF"/>
              <w:right w:val="single" w:sz="2" w:space="0" w:color="C9D6DF"/>
            </w:tcBorders>
            <w:shd w:val="clear" w:color="auto" w:fill="0F2E4C"/>
            <w:tcMar>
              <w:top w:w="100" w:type="dxa"/>
              <w:left w:w="140" w:type="dxa"/>
              <w:bottom w:w="100" w:type="dxa"/>
              <w:right w:w="140" w:type="dxa"/>
            </w:tcMar>
            <w:vAlign w:val="center"/>
          </w:tcPr>
          <w:p w14:paraId="42768638" w14:textId="77777777" w:rsidR="006C6CB3" w:rsidRDefault="00000000">
            <w:pPr>
              <w:spacing w:after="0"/>
            </w:pPr>
            <w:r>
              <w:rPr>
                <w:b/>
                <w:bCs/>
                <w:color w:val="FFFFFF"/>
                <w:sz w:val="21"/>
                <w:szCs w:val="21"/>
              </w:rPr>
              <w:t>Variable</w:t>
            </w:r>
          </w:p>
        </w:tc>
        <w:tc>
          <w:tcPr>
            <w:tcW w:w="2500" w:type="dxa"/>
            <w:tcBorders>
              <w:top w:val="single" w:sz="2" w:space="0" w:color="C9D6DF"/>
              <w:left w:val="single" w:sz="2" w:space="0" w:color="C9D6DF"/>
              <w:bottom w:val="single" w:sz="2" w:space="0" w:color="C9D6DF"/>
              <w:right w:val="single" w:sz="2" w:space="0" w:color="C9D6DF"/>
            </w:tcBorders>
            <w:shd w:val="clear" w:color="auto" w:fill="0F2E4C"/>
            <w:tcMar>
              <w:top w:w="100" w:type="dxa"/>
              <w:left w:w="140" w:type="dxa"/>
              <w:bottom w:w="100" w:type="dxa"/>
              <w:right w:w="140" w:type="dxa"/>
            </w:tcMar>
            <w:vAlign w:val="center"/>
          </w:tcPr>
          <w:p w14:paraId="5807F28D" w14:textId="77777777" w:rsidR="006C6CB3" w:rsidRDefault="00000000">
            <w:pPr>
              <w:spacing w:after="0"/>
            </w:pPr>
            <w:r>
              <w:rPr>
                <w:b/>
                <w:bCs/>
                <w:color w:val="FFFFFF"/>
                <w:sz w:val="21"/>
                <w:szCs w:val="21"/>
              </w:rPr>
              <w:t>Missing Values</w:t>
            </w:r>
          </w:p>
        </w:tc>
        <w:tc>
          <w:tcPr>
            <w:tcW w:w="2500" w:type="dxa"/>
            <w:tcBorders>
              <w:top w:val="single" w:sz="2" w:space="0" w:color="C9D6DF"/>
              <w:left w:val="single" w:sz="2" w:space="0" w:color="C9D6DF"/>
              <w:bottom w:val="single" w:sz="2" w:space="0" w:color="C9D6DF"/>
              <w:right w:val="single" w:sz="2" w:space="0" w:color="C9D6DF"/>
            </w:tcBorders>
            <w:shd w:val="clear" w:color="auto" w:fill="0F2E4C"/>
            <w:tcMar>
              <w:top w:w="100" w:type="dxa"/>
              <w:left w:w="140" w:type="dxa"/>
              <w:bottom w:w="100" w:type="dxa"/>
              <w:right w:w="140" w:type="dxa"/>
            </w:tcMar>
            <w:vAlign w:val="center"/>
          </w:tcPr>
          <w:p w14:paraId="43F0EDC1" w14:textId="77777777" w:rsidR="006C6CB3" w:rsidRDefault="00000000">
            <w:pPr>
              <w:spacing w:after="0"/>
            </w:pPr>
            <w:r>
              <w:rPr>
                <w:b/>
                <w:bCs/>
                <w:color w:val="FFFFFF"/>
                <w:sz w:val="21"/>
                <w:szCs w:val="21"/>
              </w:rPr>
              <w:t>Share of Dataset</w:t>
            </w:r>
          </w:p>
        </w:tc>
      </w:tr>
      <w:tr w:rsidR="006C6CB3" w14:paraId="3ACE15F7" w14:textId="77777777">
        <w:tblPrEx>
          <w:tblCellMar>
            <w:top w:w="0" w:type="dxa"/>
            <w:bottom w:w="0" w:type="dxa"/>
          </w:tblCellMar>
        </w:tblPrEx>
        <w:tc>
          <w:tcPr>
            <w:tcW w:w="444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35ED31C1" w14:textId="77777777" w:rsidR="006C6CB3" w:rsidRDefault="00000000">
            <w:pPr>
              <w:spacing w:after="0"/>
            </w:pPr>
            <w:r>
              <w:rPr>
                <w:sz w:val="21"/>
                <w:szCs w:val="21"/>
              </w:rPr>
              <w:t>Income</w:t>
            </w:r>
          </w:p>
        </w:tc>
        <w:tc>
          <w:tcPr>
            <w:tcW w:w="250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679A8C6E" w14:textId="77777777" w:rsidR="006C6CB3" w:rsidRDefault="00000000">
            <w:pPr>
              <w:spacing w:after="0"/>
            </w:pPr>
            <w:r>
              <w:rPr>
                <w:sz w:val="21"/>
                <w:szCs w:val="21"/>
              </w:rPr>
              <w:t>39</w:t>
            </w:r>
          </w:p>
        </w:tc>
        <w:tc>
          <w:tcPr>
            <w:tcW w:w="250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2F0A5791" w14:textId="77777777" w:rsidR="006C6CB3" w:rsidRDefault="00000000">
            <w:pPr>
              <w:spacing w:after="0"/>
            </w:pPr>
            <w:r>
              <w:rPr>
                <w:sz w:val="21"/>
                <w:szCs w:val="21"/>
              </w:rPr>
              <w:t>7.8%</w:t>
            </w:r>
          </w:p>
        </w:tc>
      </w:tr>
      <w:tr w:rsidR="006C6CB3" w14:paraId="560854A3" w14:textId="77777777">
        <w:tblPrEx>
          <w:tblCellMar>
            <w:top w:w="0" w:type="dxa"/>
            <w:bottom w:w="0" w:type="dxa"/>
          </w:tblCellMar>
        </w:tblPrEx>
        <w:tc>
          <w:tcPr>
            <w:tcW w:w="444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0F2D78BA" w14:textId="5288BCA5" w:rsidR="006C6CB3" w:rsidRDefault="00000000">
            <w:pPr>
              <w:spacing w:after="0"/>
            </w:pPr>
            <w:r>
              <w:rPr>
                <w:sz w:val="21"/>
                <w:szCs w:val="21"/>
              </w:rPr>
              <w:t>Loan</w:t>
            </w:r>
            <w:r w:rsidR="00061EDD">
              <w:rPr>
                <w:sz w:val="21"/>
                <w:szCs w:val="21"/>
              </w:rPr>
              <w:t xml:space="preserve"> </w:t>
            </w:r>
            <w:r>
              <w:rPr>
                <w:sz w:val="21"/>
                <w:szCs w:val="21"/>
              </w:rPr>
              <w:t>Balance</w:t>
            </w:r>
          </w:p>
        </w:tc>
        <w:tc>
          <w:tcPr>
            <w:tcW w:w="250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5E7D42CC" w14:textId="77777777" w:rsidR="006C6CB3" w:rsidRDefault="00000000">
            <w:pPr>
              <w:spacing w:after="0"/>
            </w:pPr>
            <w:r>
              <w:rPr>
                <w:sz w:val="21"/>
                <w:szCs w:val="21"/>
              </w:rPr>
              <w:t>29</w:t>
            </w:r>
          </w:p>
        </w:tc>
        <w:tc>
          <w:tcPr>
            <w:tcW w:w="250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0678740A" w14:textId="77777777" w:rsidR="006C6CB3" w:rsidRDefault="00000000">
            <w:pPr>
              <w:spacing w:after="0"/>
            </w:pPr>
            <w:r>
              <w:rPr>
                <w:sz w:val="21"/>
                <w:szCs w:val="21"/>
              </w:rPr>
              <w:t>5.8%</w:t>
            </w:r>
          </w:p>
        </w:tc>
      </w:tr>
      <w:tr w:rsidR="006C6CB3" w14:paraId="6EF3ED61" w14:textId="77777777">
        <w:tblPrEx>
          <w:tblCellMar>
            <w:top w:w="0" w:type="dxa"/>
            <w:bottom w:w="0" w:type="dxa"/>
          </w:tblCellMar>
        </w:tblPrEx>
        <w:tc>
          <w:tcPr>
            <w:tcW w:w="444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18A3C31D" w14:textId="10AB033E" w:rsidR="006C6CB3" w:rsidRDefault="00000000">
            <w:pPr>
              <w:spacing w:after="0"/>
            </w:pPr>
            <w:r>
              <w:rPr>
                <w:sz w:val="21"/>
                <w:szCs w:val="21"/>
              </w:rPr>
              <w:t>Credit</w:t>
            </w:r>
            <w:r w:rsidR="00061EDD">
              <w:rPr>
                <w:sz w:val="21"/>
                <w:szCs w:val="21"/>
              </w:rPr>
              <w:t xml:space="preserve"> </w:t>
            </w:r>
            <w:r>
              <w:rPr>
                <w:sz w:val="21"/>
                <w:szCs w:val="21"/>
              </w:rPr>
              <w:t>Score</w:t>
            </w:r>
          </w:p>
        </w:tc>
        <w:tc>
          <w:tcPr>
            <w:tcW w:w="250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5D80F777" w14:textId="77777777" w:rsidR="006C6CB3" w:rsidRDefault="00000000">
            <w:pPr>
              <w:spacing w:after="0"/>
            </w:pPr>
            <w:r>
              <w:rPr>
                <w:sz w:val="21"/>
                <w:szCs w:val="21"/>
              </w:rPr>
              <w:t>2</w:t>
            </w:r>
          </w:p>
        </w:tc>
        <w:tc>
          <w:tcPr>
            <w:tcW w:w="2500" w:type="dxa"/>
            <w:tcBorders>
              <w:top w:val="single" w:sz="2" w:space="0" w:color="C9D6DF"/>
              <w:left w:val="single" w:sz="2" w:space="0" w:color="C9D6DF"/>
              <w:bottom w:val="single" w:sz="2" w:space="0" w:color="C9D6DF"/>
              <w:right w:val="single" w:sz="2" w:space="0" w:color="C9D6DF"/>
            </w:tcBorders>
            <w:shd w:val="clear" w:color="auto" w:fill="FFFFFF"/>
            <w:tcMar>
              <w:top w:w="100" w:type="dxa"/>
              <w:left w:w="140" w:type="dxa"/>
              <w:bottom w:w="100" w:type="dxa"/>
              <w:right w:w="140" w:type="dxa"/>
            </w:tcMar>
            <w:vAlign w:val="center"/>
          </w:tcPr>
          <w:p w14:paraId="37A27875" w14:textId="77777777" w:rsidR="006C6CB3" w:rsidRDefault="00000000">
            <w:pPr>
              <w:spacing w:after="0"/>
            </w:pPr>
            <w:r>
              <w:rPr>
                <w:sz w:val="21"/>
                <w:szCs w:val="21"/>
              </w:rPr>
              <w:t>0.4%</w:t>
            </w:r>
          </w:p>
        </w:tc>
      </w:tr>
    </w:tbl>
    <w:p w14:paraId="1EE68A04" w14:textId="77777777" w:rsidR="006C6CB3" w:rsidRDefault="006C6CB3"/>
    <w:p w14:paraId="0D4984F6" w14:textId="77777777" w:rsidR="006C6CB3" w:rsidRDefault="00000000">
      <w:pPr>
        <w:pStyle w:val="ListParagraph"/>
        <w:numPr>
          <w:ilvl w:val="0"/>
          <w:numId w:val="2"/>
        </w:numPr>
        <w:spacing w:after="80"/>
      </w:pPr>
      <w:r>
        <w:rPr>
          <w:b/>
          <w:bCs/>
          <w:color w:val="0F2E4C"/>
        </w:rPr>
        <w:t>Missing data treatment:</w:t>
      </w:r>
    </w:p>
    <w:p w14:paraId="587E8C1C" w14:textId="77777777" w:rsidR="006C6CB3" w:rsidRDefault="00000000">
      <w:pPr>
        <w:pStyle w:val="ListParagraph"/>
        <w:numPr>
          <w:ilvl w:val="1"/>
          <w:numId w:val="2"/>
        </w:numPr>
        <w:spacing w:after="80"/>
      </w:pPr>
      <w:r>
        <w:rPr>
          <w:b/>
          <w:bCs/>
          <w:color w:val="0F2E4C"/>
        </w:rPr>
        <w:t>Income (Median Imputation):</w:t>
      </w:r>
      <w:r>
        <w:t xml:space="preserve"> Income data often contains extreme high-earning outliers, which can skew the mean. Using the median is the safest statistical method to fill these gaps without introducing bias.</w:t>
      </w:r>
    </w:p>
    <w:p w14:paraId="09D1F79A" w14:textId="4DBB4A52" w:rsidR="006C6CB3" w:rsidRDefault="00000000">
      <w:pPr>
        <w:pStyle w:val="ListParagraph"/>
        <w:numPr>
          <w:ilvl w:val="1"/>
          <w:numId w:val="2"/>
        </w:numPr>
        <w:spacing w:after="80"/>
      </w:pPr>
      <w:r>
        <w:rPr>
          <w:b/>
          <w:bCs/>
          <w:color w:val="0F2E4C"/>
        </w:rPr>
        <w:t>Loan</w:t>
      </w:r>
      <w:r w:rsidR="00061EDD">
        <w:rPr>
          <w:b/>
          <w:bCs/>
          <w:color w:val="0F2E4C"/>
        </w:rPr>
        <w:t xml:space="preserve"> </w:t>
      </w:r>
      <w:r>
        <w:rPr>
          <w:b/>
          <w:bCs/>
          <w:color w:val="0F2E4C"/>
        </w:rPr>
        <w:t>Balance (Predictive/Regression Imputation):</w:t>
      </w:r>
      <w:r>
        <w:t xml:space="preserve"> Since loan balance is closely tied to Income and Debt-to-Income ratios, using AI-driven predictive </w:t>
      </w:r>
      <w:proofErr w:type="spellStart"/>
      <w:r>
        <w:t>modeling</w:t>
      </w:r>
      <w:proofErr w:type="spellEnd"/>
      <w:r>
        <w:t xml:space="preserve"> or regression to estimate the missing balances will yield the most realistic values.</w:t>
      </w:r>
    </w:p>
    <w:p w14:paraId="571471DC" w14:textId="34DF63DD" w:rsidR="006C6CB3" w:rsidRDefault="00000000">
      <w:pPr>
        <w:pStyle w:val="ListParagraph"/>
        <w:numPr>
          <w:ilvl w:val="1"/>
          <w:numId w:val="2"/>
        </w:numPr>
        <w:spacing w:after="80"/>
      </w:pPr>
      <w:r>
        <w:rPr>
          <w:b/>
          <w:bCs/>
          <w:color w:val="0F2E4C"/>
        </w:rPr>
        <w:t>Credit</w:t>
      </w:r>
      <w:r w:rsidR="00061EDD">
        <w:rPr>
          <w:b/>
          <w:bCs/>
          <w:color w:val="0F2E4C"/>
        </w:rPr>
        <w:t xml:space="preserve"> </w:t>
      </w:r>
      <w:r>
        <w:rPr>
          <w:b/>
          <w:bCs/>
          <w:color w:val="0F2E4C"/>
        </w:rPr>
        <w:t>Score (Deletion or Median Imputation):</w:t>
      </w:r>
      <w:r>
        <w:t xml:space="preserve"> Since only 0.4% (2 rows) are missing, deleting these rows will not significantly impact the dataset's size. Alternatively, median imputation can be used to keep the dataset 100% intact.</w:t>
      </w:r>
    </w:p>
    <w:p w14:paraId="4660F77D" w14:textId="77777777" w:rsidR="006C6CB3" w:rsidRDefault="00000000">
      <w:pPr>
        <w:pStyle w:val="Heading1"/>
      </w:pPr>
      <w:r>
        <w:t>4. Key Findings and Risk Indicators</w:t>
      </w:r>
    </w:p>
    <w:p w14:paraId="110345D6" w14:textId="77777777" w:rsidR="006C6CB3" w:rsidRDefault="00000000">
      <w:r>
        <w:t>This section identifies trends and patterns that act as early risk factors for delinquency, forming the basis for proactive intervention strategies.</w:t>
      </w:r>
    </w:p>
    <w:p w14:paraId="459AEAE6" w14:textId="77777777" w:rsidR="006C6CB3" w:rsidRDefault="00000000">
      <w:pPr>
        <w:spacing w:before="120" w:after="80"/>
      </w:pPr>
      <w:r>
        <w:rPr>
          <w:i/>
          <w:iCs/>
          <w:color w:val="5A6B7A"/>
        </w:rPr>
        <w:t>Key findings:</w:t>
      </w:r>
    </w:p>
    <w:p w14:paraId="63325052" w14:textId="77777777" w:rsidR="006C6CB3" w:rsidRDefault="00000000">
      <w:pPr>
        <w:pStyle w:val="ListParagraph"/>
        <w:numPr>
          <w:ilvl w:val="0"/>
          <w:numId w:val="2"/>
        </w:numPr>
        <w:spacing w:after="80"/>
      </w:pPr>
      <w:r>
        <w:rPr>
          <w:b/>
          <w:bCs/>
          <w:color w:val="0F2E4C"/>
        </w:rPr>
        <w:t>Correlations observed between key variables:</w:t>
      </w:r>
    </w:p>
    <w:p w14:paraId="1C4040AB" w14:textId="77777777" w:rsidR="006C6CB3" w:rsidRDefault="00000000">
      <w:pPr>
        <w:pStyle w:val="ListParagraph"/>
        <w:numPr>
          <w:ilvl w:val="1"/>
          <w:numId w:val="2"/>
        </w:numPr>
        <w:spacing w:after="80"/>
      </w:pPr>
      <w:r>
        <w:t>Initial profiling shows a baseline delinquency rate of 16% (80 out of 500 accounts are delinquent), meaning the dataset is moderately imbalanced.</w:t>
      </w:r>
    </w:p>
    <w:p w14:paraId="67FDA2A8" w14:textId="77777777" w:rsidR="006C6CB3" w:rsidRDefault="00000000">
      <w:pPr>
        <w:pStyle w:val="ListParagraph"/>
        <w:numPr>
          <w:ilvl w:val="1"/>
          <w:numId w:val="2"/>
        </w:numPr>
        <w:spacing w:after="80"/>
      </w:pPr>
      <w:r>
        <w:t>Unemployed customers showed a slightly elevated average delinquency rate (~19.3%) compared to other employment segments.</w:t>
      </w:r>
    </w:p>
    <w:p w14:paraId="0855EC43" w14:textId="6F0DF756" w:rsidR="006C6CB3" w:rsidRDefault="00000000">
      <w:pPr>
        <w:pStyle w:val="ListParagraph"/>
        <w:numPr>
          <w:ilvl w:val="1"/>
          <w:numId w:val="2"/>
        </w:numPr>
        <w:spacing w:after="80"/>
      </w:pPr>
      <w:r>
        <w:t>Variables like Credit</w:t>
      </w:r>
      <w:r w:rsidR="00061EDD">
        <w:t xml:space="preserve"> </w:t>
      </w:r>
      <w:r>
        <w:t>Utilization and Debt</w:t>
      </w:r>
      <w:r w:rsidR="00061EDD">
        <w:t xml:space="preserve"> </w:t>
      </w:r>
      <w:r>
        <w:t>to</w:t>
      </w:r>
      <w:r w:rsidR="00061EDD">
        <w:t xml:space="preserve"> </w:t>
      </w:r>
      <w:r>
        <w:t>Income</w:t>
      </w:r>
      <w:r w:rsidR="00061EDD">
        <w:t xml:space="preserve"> </w:t>
      </w:r>
      <w:r>
        <w:t xml:space="preserve">Ratio show minor positive linear relationships with delinquency, serving as standard </w:t>
      </w:r>
      <w:proofErr w:type="spellStart"/>
      <w:r>
        <w:t>behavioral</w:t>
      </w:r>
      <w:proofErr w:type="spellEnd"/>
      <w:r>
        <w:t xml:space="preserve"> risk markers.</w:t>
      </w:r>
    </w:p>
    <w:p w14:paraId="63558906" w14:textId="77777777" w:rsidR="006C6CB3" w:rsidRDefault="00000000">
      <w:pPr>
        <w:pStyle w:val="ListParagraph"/>
        <w:numPr>
          <w:ilvl w:val="0"/>
          <w:numId w:val="2"/>
        </w:numPr>
        <w:spacing w:after="80"/>
      </w:pPr>
      <w:r>
        <w:rPr>
          <w:b/>
          <w:bCs/>
          <w:color w:val="0F2E4C"/>
        </w:rPr>
        <w:t>Unexpected anomalies:</w:t>
      </w:r>
    </w:p>
    <w:p w14:paraId="63769E58" w14:textId="1158E79A" w:rsidR="006C6CB3" w:rsidRDefault="00000000">
      <w:pPr>
        <w:pStyle w:val="ListParagraph"/>
        <w:numPr>
          <w:ilvl w:val="1"/>
          <w:numId w:val="2"/>
        </w:numPr>
        <w:spacing w:after="80"/>
      </w:pPr>
      <w:r>
        <w:t>The raw correlation between total historical Missed</w:t>
      </w:r>
      <w:r w:rsidR="00061EDD">
        <w:t xml:space="preserve"> </w:t>
      </w:r>
      <w:r>
        <w:t>Payments and the current Delinquent</w:t>
      </w:r>
      <w:r w:rsidR="00061EDD">
        <w:t xml:space="preserve"> </w:t>
      </w:r>
      <w:r>
        <w:t xml:space="preserve">Account status is unexpectedly weak. This indicates that predictive models should rely more heavily on </w:t>
      </w:r>
      <w:r>
        <w:lastRenderedPageBreak/>
        <w:t xml:space="preserve">recent sequential </w:t>
      </w:r>
      <w:proofErr w:type="spellStart"/>
      <w:r>
        <w:t>behavior</w:t>
      </w:r>
      <w:proofErr w:type="spellEnd"/>
      <w:r>
        <w:t xml:space="preserve"> (the Month_1 to Month_6 categorical trends) rather than just a lifetime count of missed payments.</w:t>
      </w:r>
    </w:p>
    <w:p w14:paraId="58A576C6" w14:textId="77777777" w:rsidR="006C6CB3" w:rsidRDefault="00000000">
      <w:pPr>
        <w:pStyle w:val="Heading1"/>
      </w:pPr>
      <w:r>
        <w:t>5. AI &amp; GenAI Usage</w:t>
      </w:r>
    </w:p>
    <w:p w14:paraId="5ECA7DD8" w14:textId="77777777" w:rsidR="006C6CB3" w:rsidRDefault="00000000">
      <w:r>
        <w:t>Generative AI tools and data science libraries were used to summarize the dataset, identify missing percentages, and suggest imputation strategies.</w:t>
      </w:r>
    </w:p>
    <w:p w14:paraId="194AA13C" w14:textId="77777777" w:rsidR="006C6CB3" w:rsidRDefault="00000000">
      <w:pPr>
        <w:spacing w:before="120" w:after="80"/>
      </w:pPr>
      <w:r>
        <w:rPr>
          <w:i/>
          <w:iCs/>
          <w:color w:val="5A6B7A"/>
        </w:rPr>
        <w:t>Example AI prompts used:</w:t>
      </w:r>
    </w:p>
    <w:tbl>
      <w:tblPr>
        <w:tblW w:w="9840" w:type="dxa"/>
        <w:tblBorders>
          <w:top w:val="none" w:sz="0" w:space="0" w:color="FFFFFF"/>
          <w:left w:val="single" w:sz="18" w:space="0" w:color="1F7A8C"/>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40"/>
      </w:tblGrid>
      <w:tr w:rsidR="006C6CB3" w14:paraId="412F1D03" w14:textId="77777777">
        <w:tblPrEx>
          <w:tblCellMar>
            <w:top w:w="0" w:type="dxa"/>
            <w:bottom w:w="0" w:type="dxa"/>
          </w:tblCellMar>
        </w:tblPrEx>
        <w:tc>
          <w:tcPr>
            <w:tcW w:w="9840" w:type="dxa"/>
            <w:shd w:val="clear" w:color="auto" w:fill="EAF1F5"/>
            <w:tcMar>
              <w:top w:w="160" w:type="dxa"/>
              <w:left w:w="240" w:type="dxa"/>
              <w:bottom w:w="160" w:type="dxa"/>
              <w:right w:w="240" w:type="dxa"/>
            </w:tcMar>
          </w:tcPr>
          <w:p w14:paraId="5F184580" w14:textId="77777777" w:rsidR="006C6CB3" w:rsidRDefault="00000000">
            <w:r>
              <w:t>“</w:t>
            </w:r>
            <w:proofErr w:type="spellStart"/>
            <w:r>
              <w:t>Analyze</w:t>
            </w:r>
            <w:proofErr w:type="spellEnd"/>
            <w:r>
              <w:t xml:space="preserve"> this dataset and provide a summary of key columns, identifying the percentage of missing values in Income and Loan Balance.”</w:t>
            </w:r>
          </w:p>
        </w:tc>
      </w:tr>
    </w:tbl>
    <w:p w14:paraId="4778C9F1" w14:textId="77777777" w:rsidR="006C6CB3" w:rsidRDefault="006C6CB3">
      <w:pPr>
        <w:spacing w:after="60"/>
      </w:pPr>
    </w:p>
    <w:tbl>
      <w:tblPr>
        <w:tblW w:w="9840" w:type="dxa"/>
        <w:tblBorders>
          <w:top w:val="none" w:sz="0" w:space="0" w:color="FFFFFF"/>
          <w:left w:val="single" w:sz="18" w:space="0" w:color="1F7A8C"/>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40"/>
      </w:tblGrid>
      <w:tr w:rsidR="006C6CB3" w14:paraId="00350C3D" w14:textId="77777777">
        <w:tblPrEx>
          <w:tblCellMar>
            <w:top w:w="0" w:type="dxa"/>
            <w:bottom w:w="0" w:type="dxa"/>
          </w:tblCellMar>
        </w:tblPrEx>
        <w:tc>
          <w:tcPr>
            <w:tcW w:w="9840" w:type="dxa"/>
            <w:shd w:val="clear" w:color="auto" w:fill="EAF1F5"/>
            <w:tcMar>
              <w:top w:w="160" w:type="dxa"/>
              <w:left w:w="240" w:type="dxa"/>
              <w:bottom w:w="160" w:type="dxa"/>
              <w:right w:w="240" w:type="dxa"/>
            </w:tcMar>
          </w:tcPr>
          <w:p w14:paraId="7FE7F1D2" w14:textId="77777777" w:rsidR="006C6CB3" w:rsidRDefault="00000000">
            <w:r>
              <w:t>“Suggest the best imputation strategy for handling missing Income values in a credit risk dataset based on industry best practices, and explain why median imputation is safer than mean.”</w:t>
            </w:r>
          </w:p>
        </w:tc>
      </w:tr>
    </w:tbl>
    <w:p w14:paraId="0E2338E2" w14:textId="77777777" w:rsidR="006C6CB3" w:rsidRDefault="006C6CB3">
      <w:pPr>
        <w:spacing w:after="60"/>
      </w:pPr>
    </w:p>
    <w:tbl>
      <w:tblPr>
        <w:tblW w:w="9840" w:type="dxa"/>
        <w:tblBorders>
          <w:top w:val="none" w:sz="0" w:space="0" w:color="FFFFFF"/>
          <w:left w:val="single" w:sz="18" w:space="0" w:color="1F7A8C"/>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40"/>
      </w:tblGrid>
      <w:tr w:rsidR="006C6CB3" w14:paraId="49757191" w14:textId="77777777">
        <w:tblPrEx>
          <w:tblCellMar>
            <w:top w:w="0" w:type="dxa"/>
            <w:bottom w:w="0" w:type="dxa"/>
          </w:tblCellMar>
        </w:tblPrEx>
        <w:tc>
          <w:tcPr>
            <w:tcW w:w="9840" w:type="dxa"/>
            <w:shd w:val="clear" w:color="auto" w:fill="EAF1F5"/>
            <w:tcMar>
              <w:top w:w="160" w:type="dxa"/>
              <w:left w:w="240" w:type="dxa"/>
              <w:bottom w:w="160" w:type="dxa"/>
              <w:right w:w="240" w:type="dxa"/>
            </w:tcMar>
          </w:tcPr>
          <w:p w14:paraId="7849FCD5" w14:textId="77777777" w:rsidR="006C6CB3" w:rsidRDefault="00000000">
            <w:r>
              <w:t>“Detect any structural formatting inconsistencies in categorical variables like Employment Status.”</w:t>
            </w:r>
          </w:p>
        </w:tc>
      </w:tr>
    </w:tbl>
    <w:p w14:paraId="3992B333" w14:textId="77777777" w:rsidR="006C6CB3" w:rsidRDefault="006C6CB3"/>
    <w:p w14:paraId="4BF1781B" w14:textId="77777777" w:rsidR="006C6CB3" w:rsidRDefault="00000000">
      <w:pPr>
        <w:pStyle w:val="Heading1"/>
      </w:pPr>
      <w:r>
        <w:t>6. Conclusion &amp; Next Steps</w:t>
      </w:r>
    </w:p>
    <w:p w14:paraId="09996FB7" w14:textId="606C1180" w:rsidR="006C6CB3" w:rsidRDefault="00000000">
      <w:r>
        <w:t xml:space="preserve">The initial EDA confirms that </w:t>
      </w:r>
      <w:proofErr w:type="spellStart"/>
      <w:r>
        <w:t>Geldium's</w:t>
      </w:r>
      <w:proofErr w:type="spellEnd"/>
      <w:r>
        <w:t xml:space="preserve"> dataset requires data cleaning before deployment. The immediate next steps involve standardizing categorical variables (like Employment</w:t>
      </w:r>
      <w:r w:rsidR="00061EDD">
        <w:t xml:space="preserve"> </w:t>
      </w:r>
      <w:r>
        <w:t>Status), applying the proposed median and regression-based imputations for missing values, and generating synthetic data if the minority class (delinquent accounts) needs balancing. Once cleaned, the dataset will be structurally sound for building GenAI-powered predictive models to target high-risk customers.</w:t>
      </w:r>
    </w:p>
    <w:sectPr w:rsidR="006C6CB3">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4A855F" w14:textId="77777777" w:rsidR="00012996" w:rsidRDefault="00012996">
      <w:pPr>
        <w:spacing w:after="0" w:line="240" w:lineRule="auto"/>
      </w:pPr>
      <w:r>
        <w:separator/>
      </w:r>
    </w:p>
  </w:endnote>
  <w:endnote w:type="continuationSeparator" w:id="0">
    <w:p w14:paraId="23794C74" w14:textId="77777777" w:rsidR="00012996" w:rsidRDefault="00012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E0DB39" w14:textId="77777777" w:rsidR="006C6CB3" w:rsidRDefault="00000000">
    <w:pPr>
      <w:jc w:val="center"/>
    </w:pPr>
    <w:r>
      <w:rPr>
        <w:color w:val="5A6B7A"/>
        <w:sz w:val="18"/>
        <w:szCs w:val="18"/>
      </w:rPr>
      <w:t xml:space="preserve">Page </w:t>
    </w:r>
    <w:r>
      <w:rPr>
        <w:color w:val="5A6B7A"/>
        <w:sz w:val="18"/>
        <w:szCs w:val="18"/>
      </w:rPr>
      <w:fldChar w:fldCharType="begin"/>
    </w:r>
    <w:r>
      <w:rPr>
        <w:color w:val="5A6B7A"/>
        <w:sz w:val="18"/>
        <w:szCs w:val="18"/>
      </w:rPr>
      <w:instrText>PAGE</w:instrText>
    </w:r>
    <w:r>
      <w:rPr>
        <w:color w:val="5A6B7A"/>
        <w:sz w:val="18"/>
        <w:szCs w:val="18"/>
      </w:rPr>
      <w:fldChar w:fldCharType="separate"/>
    </w:r>
    <w:r w:rsidR="00061EDD">
      <w:rPr>
        <w:noProof/>
        <w:color w:val="5A6B7A"/>
        <w:sz w:val="18"/>
        <w:szCs w:val="18"/>
      </w:rPr>
      <w:t>1</w:t>
    </w:r>
    <w:r>
      <w:rPr>
        <w:color w:val="5A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75171F" w14:textId="77777777" w:rsidR="00012996" w:rsidRDefault="00012996">
      <w:pPr>
        <w:spacing w:after="0" w:line="240" w:lineRule="auto"/>
      </w:pPr>
      <w:r>
        <w:separator/>
      </w:r>
    </w:p>
  </w:footnote>
  <w:footnote w:type="continuationSeparator" w:id="0">
    <w:p w14:paraId="651CFA97" w14:textId="77777777" w:rsidR="00012996" w:rsidRDefault="00012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074E0" w14:textId="77777777" w:rsidR="006C6CB3" w:rsidRDefault="00000000">
    <w:pPr>
      <w:pBdr>
        <w:bottom w:val="single" w:sz="4" w:space="4" w:color="C9D6DF"/>
      </w:pBdr>
      <w:jc w:val="right"/>
    </w:pPr>
    <w:r>
      <w:rPr>
        <w:b/>
        <w:bCs/>
        <w:color w:val="5A6B7A"/>
        <w:sz w:val="18"/>
        <w:szCs w:val="18"/>
      </w:rPr>
      <w:t>Exploratory Data Analysis (EDA)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A7C8E"/>
    <w:multiLevelType w:val="hybridMultilevel"/>
    <w:tmpl w:val="2BCA535E"/>
    <w:lvl w:ilvl="0" w:tplc="9FCA6F80">
      <w:start w:val="1"/>
      <w:numFmt w:val="decimal"/>
      <w:lvlText w:val="%1."/>
      <w:lvlJc w:val="left"/>
      <w:pPr>
        <w:ind w:left="500" w:hanging="300"/>
      </w:pPr>
      <w:rPr>
        <w:b/>
        <w:bCs/>
        <w:color w:val="0F2E4C"/>
      </w:rPr>
    </w:lvl>
    <w:lvl w:ilvl="1" w:tplc="166A3056">
      <w:numFmt w:val="decimal"/>
      <w:lvlText w:val=""/>
      <w:lvlJc w:val="left"/>
    </w:lvl>
    <w:lvl w:ilvl="2" w:tplc="C1568E9C">
      <w:numFmt w:val="decimal"/>
      <w:lvlText w:val=""/>
      <w:lvlJc w:val="left"/>
    </w:lvl>
    <w:lvl w:ilvl="3" w:tplc="A3347D50">
      <w:numFmt w:val="decimal"/>
      <w:lvlText w:val=""/>
      <w:lvlJc w:val="left"/>
    </w:lvl>
    <w:lvl w:ilvl="4" w:tplc="C78A72CA">
      <w:numFmt w:val="decimal"/>
      <w:lvlText w:val=""/>
      <w:lvlJc w:val="left"/>
    </w:lvl>
    <w:lvl w:ilvl="5" w:tplc="319814AC">
      <w:numFmt w:val="decimal"/>
      <w:lvlText w:val=""/>
      <w:lvlJc w:val="left"/>
    </w:lvl>
    <w:lvl w:ilvl="6" w:tplc="73E6A75E">
      <w:numFmt w:val="decimal"/>
      <w:lvlText w:val=""/>
      <w:lvlJc w:val="left"/>
    </w:lvl>
    <w:lvl w:ilvl="7" w:tplc="57E45C12">
      <w:numFmt w:val="decimal"/>
      <w:lvlText w:val=""/>
      <w:lvlJc w:val="left"/>
    </w:lvl>
    <w:lvl w:ilvl="8" w:tplc="8F2C1CF8">
      <w:numFmt w:val="decimal"/>
      <w:lvlText w:val=""/>
      <w:lvlJc w:val="left"/>
    </w:lvl>
  </w:abstractNum>
  <w:abstractNum w:abstractNumId="1" w15:restartNumberingAfterBreak="0">
    <w:nsid w:val="329C54AF"/>
    <w:multiLevelType w:val="hybridMultilevel"/>
    <w:tmpl w:val="2578BC38"/>
    <w:lvl w:ilvl="0" w:tplc="33B8A052">
      <w:start w:val="1"/>
      <w:numFmt w:val="bullet"/>
      <w:lvlText w:val="●"/>
      <w:lvlJc w:val="left"/>
      <w:pPr>
        <w:ind w:left="720" w:hanging="360"/>
      </w:pPr>
    </w:lvl>
    <w:lvl w:ilvl="1" w:tplc="1B68C4A6">
      <w:start w:val="1"/>
      <w:numFmt w:val="bullet"/>
      <w:lvlText w:val="○"/>
      <w:lvlJc w:val="left"/>
      <w:pPr>
        <w:ind w:left="1440" w:hanging="360"/>
      </w:pPr>
    </w:lvl>
    <w:lvl w:ilvl="2" w:tplc="9BE651B4">
      <w:start w:val="1"/>
      <w:numFmt w:val="bullet"/>
      <w:lvlText w:val="■"/>
      <w:lvlJc w:val="left"/>
      <w:pPr>
        <w:ind w:left="2160" w:hanging="360"/>
      </w:pPr>
    </w:lvl>
    <w:lvl w:ilvl="3" w:tplc="E6B65790">
      <w:start w:val="1"/>
      <w:numFmt w:val="bullet"/>
      <w:lvlText w:val="●"/>
      <w:lvlJc w:val="left"/>
      <w:pPr>
        <w:ind w:left="2880" w:hanging="360"/>
      </w:pPr>
    </w:lvl>
    <w:lvl w:ilvl="4" w:tplc="A2341F6C">
      <w:start w:val="1"/>
      <w:numFmt w:val="bullet"/>
      <w:lvlText w:val="○"/>
      <w:lvlJc w:val="left"/>
      <w:pPr>
        <w:ind w:left="3600" w:hanging="360"/>
      </w:pPr>
    </w:lvl>
    <w:lvl w:ilvl="5" w:tplc="D6A8A3C2">
      <w:start w:val="1"/>
      <w:numFmt w:val="bullet"/>
      <w:lvlText w:val="■"/>
      <w:lvlJc w:val="left"/>
      <w:pPr>
        <w:ind w:left="4320" w:hanging="360"/>
      </w:pPr>
    </w:lvl>
    <w:lvl w:ilvl="6" w:tplc="F280AF54">
      <w:start w:val="1"/>
      <w:numFmt w:val="bullet"/>
      <w:lvlText w:val="●"/>
      <w:lvlJc w:val="left"/>
      <w:pPr>
        <w:ind w:left="5040" w:hanging="360"/>
      </w:pPr>
    </w:lvl>
    <w:lvl w:ilvl="7" w:tplc="AFD86B78">
      <w:start w:val="1"/>
      <w:numFmt w:val="bullet"/>
      <w:lvlText w:val="●"/>
      <w:lvlJc w:val="left"/>
      <w:pPr>
        <w:ind w:left="5760" w:hanging="360"/>
      </w:pPr>
    </w:lvl>
    <w:lvl w:ilvl="8" w:tplc="3DECD74E">
      <w:start w:val="1"/>
      <w:numFmt w:val="bullet"/>
      <w:lvlText w:val="●"/>
      <w:lvlJc w:val="left"/>
      <w:pPr>
        <w:ind w:left="6480" w:hanging="360"/>
      </w:pPr>
    </w:lvl>
  </w:abstractNum>
  <w:abstractNum w:abstractNumId="2" w15:restartNumberingAfterBreak="0">
    <w:nsid w:val="39180F5D"/>
    <w:multiLevelType w:val="hybridMultilevel"/>
    <w:tmpl w:val="128E4252"/>
    <w:lvl w:ilvl="0" w:tplc="C4F473E6">
      <w:start w:val="1"/>
      <w:numFmt w:val="bullet"/>
      <w:lvlText w:val="■"/>
      <w:lvlJc w:val="left"/>
      <w:pPr>
        <w:ind w:left="500" w:hanging="250"/>
      </w:pPr>
      <w:rPr>
        <w:color w:val="1F7A8C"/>
      </w:rPr>
    </w:lvl>
    <w:lvl w:ilvl="1" w:tplc="E0000650">
      <w:start w:val="1"/>
      <w:numFmt w:val="bullet"/>
      <w:lvlText w:val="–"/>
      <w:lvlJc w:val="left"/>
      <w:pPr>
        <w:ind w:left="1000" w:hanging="260"/>
      </w:pPr>
      <w:rPr>
        <w:color w:val="5A6B7A"/>
      </w:rPr>
    </w:lvl>
    <w:lvl w:ilvl="2" w:tplc="8A6E1E06">
      <w:numFmt w:val="decimal"/>
      <w:lvlText w:val=""/>
      <w:lvlJc w:val="left"/>
    </w:lvl>
    <w:lvl w:ilvl="3" w:tplc="280242EE">
      <w:numFmt w:val="decimal"/>
      <w:lvlText w:val=""/>
      <w:lvlJc w:val="left"/>
    </w:lvl>
    <w:lvl w:ilvl="4" w:tplc="325A2AB6">
      <w:numFmt w:val="decimal"/>
      <w:lvlText w:val=""/>
      <w:lvlJc w:val="left"/>
    </w:lvl>
    <w:lvl w:ilvl="5" w:tplc="CF8833C4">
      <w:numFmt w:val="decimal"/>
      <w:lvlText w:val=""/>
      <w:lvlJc w:val="left"/>
    </w:lvl>
    <w:lvl w:ilvl="6" w:tplc="479A3F8A">
      <w:numFmt w:val="decimal"/>
      <w:lvlText w:val=""/>
      <w:lvlJc w:val="left"/>
    </w:lvl>
    <w:lvl w:ilvl="7" w:tplc="19009E54">
      <w:numFmt w:val="decimal"/>
      <w:lvlText w:val=""/>
      <w:lvlJc w:val="left"/>
    </w:lvl>
    <w:lvl w:ilvl="8" w:tplc="86E47D50">
      <w:numFmt w:val="decimal"/>
      <w:lvlText w:val=""/>
      <w:lvlJc w:val="left"/>
    </w:lvl>
  </w:abstractNum>
  <w:num w:numId="1" w16cid:durableId="1700856070">
    <w:abstractNumId w:val="1"/>
    <w:lvlOverride w:ilvl="0">
      <w:startOverride w:val="1"/>
    </w:lvlOverride>
  </w:num>
  <w:num w:numId="2" w16cid:durableId="42666020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CB3"/>
    <w:rsid w:val="00012996"/>
    <w:rsid w:val="00061EDD"/>
    <w:rsid w:val="006A00DF"/>
    <w:rsid w:val="006C6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2C65E6"/>
  <w15:docId w15:val="{B6EB1F7A-EC55-1F43-BBC0-426EECE0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C2833"/>
        <w:sz w:val="22"/>
        <w:szCs w:val="22"/>
        <w:lang w:val="en-IN" w:eastAsia="en-GB"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1F7A8C"/>
      </w:pBdr>
      <w:spacing w:before="320" w:after="160"/>
      <w:outlineLvl w:val="0"/>
    </w:pPr>
    <w:rPr>
      <w:b/>
      <w:bCs/>
      <w:color w:val="0F2E4C"/>
      <w:sz w:val="30"/>
      <w:szCs w:val="30"/>
    </w:rPr>
  </w:style>
  <w:style w:type="paragraph" w:styleId="Heading2">
    <w:name w:val="heading 2"/>
    <w:uiPriority w:val="9"/>
    <w:semiHidden/>
    <w:unhideWhenUsed/>
    <w:qFormat/>
    <w:pPr>
      <w:spacing w:before="240"/>
      <w:outlineLvl w:val="1"/>
    </w:pPr>
    <w:rPr>
      <w:b/>
      <w:bCs/>
      <w:color w:val="1F7A8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jayesh suthar</cp:lastModifiedBy>
  <cp:revision>2</cp:revision>
  <dcterms:created xsi:type="dcterms:W3CDTF">2026-08-16T12:24:00Z</dcterms:created>
  <dcterms:modified xsi:type="dcterms:W3CDTF">2026-08-16T12:45:00Z</dcterms:modified>
</cp:coreProperties>
</file>