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none" w:color="FFFFFF" w:sz="0"/>
          <w:left w:val="none" w:color="FFFFFF" w:sz="0"/>
          <w:bottom w:val="single" w:color="1F7A8C" w:sz="18"/>
          <w:right w:val="none" w:color="FFFFFF" w:sz="0"/>
          <w:insideH w:val="none" w:color="FFFFFF" w:sz="0"/>
          <w:insideV w:val="none" w:color="FFFFFF" w:sz="0"/>
        </w:tblBorders>
      </w:tblPr>
      <w:tblGrid>
        <w:gridCol w:w="9840"/>
      </w:tblGrid>
      <w:tr>
        <w:tc>
          <w:tcPr>
            <w:tcW w:type="dxa" w:w="9840"/>
            <w:shd w:fill="0F2E4C" w:val="clear"/>
            <w:tcMar>
              <w:top w:type="dxa" w:w="320"/>
              <w:left w:type="dxa" w:w="320"/>
              <w:bottom w:type="dxa" w:w="320"/>
              <w:right w:type="dxa" w:w="320"/>
            </w:tcMar>
          </w:tcPr>
          <w:p>
            <w:pPr>
              <w:spacing w:after="60"/>
            </w:pPr>
            <w:r>
              <w:rPr>
                <w:b/>
                <w:bCs/>
                <w:color w:val="9FD3DD"/>
                <w:spacing w:val="40"/>
                <w:sz w:val="18"/>
                <w:szCs w:val="18"/>
              </w:rPr>
              <w:t xml:space="preserve">GELDIUM | CREDIT DELINQUENCY PREDICTION</w:t>
            </w:r>
          </w:p>
          <w:p>
            <w:pPr>
              <w:spacing w:after="0"/>
            </w:pPr>
            <w:r>
              <w:rPr>
                <w:b/>
                <w:bCs/>
                <w:color w:val="FFFFFF"/>
                <w:sz w:val="40"/>
                <w:szCs w:val="40"/>
              </w:rPr>
              <w:t xml:space="preserve">Predictive Model Plan</w:t>
            </w:r>
          </w:p>
        </w:tc>
      </w:tr>
    </w:tbl>
    <w:p>
      <w:pPr>
        <w:spacing w:after="200"/>
      </w:pPr>
    </w:p>
    <w:p>
      <w:pPr>
        <w:pStyle w:val="Heading1"/>
      </w:pPr>
      <w:r>
        <w:rPr>
          <w:b/>
          <w:bCs/>
          <w:color w:val="0F2E4C"/>
        </w:rPr>
        <w:t xml:space="preserve">1. Model Logic (Generated with GenAI)</w:t>
      </w:r>
    </w:p>
    <w:p>
      <w:r>
        <w:rPr>
          <w:b/>
          <w:bCs/>
          <w:color w:val="0F2E4C"/>
        </w:rPr>
        <w:t xml:space="preserve">Chosen Model:</w:t>
      </w:r>
      <w:r>
        <w:t xml:space="preserve"> Logistic Regression</w:t>
      </w:r>
    </w:p>
    <w:p>
      <w:r>
        <w:rPr>
          <w:b/>
          <w:bCs/>
          <w:color w:val="0F2E4C"/>
        </w:rPr>
        <w:t xml:space="preserve">Top 5 Input Features:</w:t>
      </w:r>
      <w:r>
        <w:t xml:space="preserve"> Credit Utilization, Debt to income ratio, Missed Payments, Income, &amp; Employment Status.</w:t>
      </w:r>
    </w:p>
    <w:p>
      <w:pPr>
        <w:pStyle w:val="Heading2"/>
      </w:pPr>
      <w:r>
        <w:rPr>
          <w:b/>
          <w:bCs/>
          <w:color w:val="1F7A8C"/>
        </w:rPr>
        <w:t xml:space="preserve">Model Workflow / Pseudocode:</w:t>
      </w:r>
    </w:p>
    <w:p>
      <w:pPr>
        <w:pStyle w:val="ListParagraph"/>
        <w:numPr>
          <w:ilvl w:val="0"/>
          <w:numId w:val="2"/>
        </w:numPr>
        <w:spacing w:after="80"/>
      </w:pPr>
      <w:r>
        <w:rPr>
          <w:b/>
          <w:bCs/>
          <w:color w:val="0F2E4C"/>
        </w:rPr>
        <w:t xml:space="preserve">Data Ingestion &amp; Preprocessing:</w:t>
      </w:r>
    </w:p>
    <w:p>
      <w:pPr>
        <w:pStyle w:val="ListParagraph"/>
        <w:numPr>
          <w:ilvl w:val="1"/>
          <w:numId w:val="3"/>
        </w:numPr>
        <w:spacing w:after="80"/>
      </w:pPr>
      <w:r>
        <w:t xml:space="preserve">Load customer data and handle missing values (e.g., median imputation for Income and predictive regression for Loan Balance).</w:t>
      </w:r>
    </w:p>
    <w:p>
      <w:pPr>
        <w:pStyle w:val="ListParagraph"/>
        <w:numPr>
          <w:ilvl w:val="1"/>
          <w:numId w:val="3"/>
        </w:numPr>
        <w:spacing w:after="80"/>
      </w:pPr>
      <w:r>
        <w:t xml:space="preserve">Encode categorical variables like Employment Status (converting 'EMP', 'Employed' to a standardized format) and Month_1 to Month_6 payment history.</w:t>
      </w:r>
    </w:p>
    <w:p>
      <w:pPr>
        <w:pStyle w:val="ListParagraph"/>
        <w:numPr>
          <w:ilvl w:val="0"/>
          <w:numId w:val="2"/>
        </w:numPr>
        <w:spacing w:after="80"/>
      </w:pPr>
      <w:r>
        <w:rPr>
          <w:b/>
          <w:bCs/>
          <w:color w:val="0F2E4C"/>
        </w:rPr>
        <w:t xml:space="preserve">Feature Selection &amp; Scaling:</w:t>
      </w:r>
    </w:p>
    <w:p>
      <w:pPr>
        <w:pStyle w:val="ListParagraph"/>
        <w:numPr>
          <w:ilvl w:val="1"/>
          <w:numId w:val="3"/>
        </w:numPr>
        <w:spacing w:after="80"/>
      </w:pPr>
      <w:r>
        <w:t xml:space="preserve">Select the top risk-indicating variables. Normalize continuous variables (like Income and Loan Balance) so that large numbers don't skew the model weights.</w:t>
      </w:r>
    </w:p>
    <w:p>
      <w:pPr>
        <w:pStyle w:val="ListParagraph"/>
        <w:numPr>
          <w:ilvl w:val="0"/>
          <w:numId w:val="2"/>
        </w:numPr>
        <w:spacing w:after="80"/>
      </w:pPr>
      <w:r>
        <w:rPr>
          <w:b/>
          <w:bCs/>
          <w:color w:val="0F2E4C"/>
        </w:rPr>
        <w:t xml:space="preserve">Model Training (Logistic Regression):</w:t>
      </w:r>
    </w:p>
    <w:p>
      <w:pPr>
        <w:pStyle w:val="ListParagraph"/>
        <w:numPr>
          <w:ilvl w:val="1"/>
          <w:numId w:val="3"/>
        </w:numPr>
        <w:spacing w:after="80"/>
      </w:pPr>
      <w:r>
        <w:t xml:space="preserve">The model calculates a weighted sum of the input features. For example, higher Credit Utilization and multiple Missed Payments will increase the weighted score.</w:t>
      </w:r>
    </w:p>
    <w:p>
      <w:pPr>
        <w:pStyle w:val="ListParagraph"/>
        <w:numPr>
          <w:ilvl w:val="1"/>
          <w:numId w:val="3"/>
        </w:numPr>
        <w:spacing w:after="80"/>
      </w:pPr>
      <w:r>
        <w:t xml:space="preserve">The model passes this score through a sigmoid function to generate a probability score between 0 and 1.</w:t>
      </w:r>
    </w:p>
    <w:p>
      <w:pPr>
        <w:pStyle w:val="ListParagraph"/>
        <w:numPr>
          <w:ilvl w:val="0"/>
          <w:numId w:val="2"/>
        </w:numPr>
        <w:spacing w:after="80"/>
      </w:pPr>
      <w:r>
        <w:rPr>
          <w:b/>
          <w:bCs/>
          <w:color w:val="0F2E4C"/>
        </w:rPr>
        <w:t xml:space="preserve">Prediction Output:</w:t>
      </w:r>
    </w:p>
    <w:p>
      <w:pPr>
        <w:pStyle w:val="ListParagraph"/>
        <w:numPr>
          <w:ilvl w:val="1"/>
          <w:numId w:val="3"/>
        </w:numPr>
        <w:spacing w:after="80"/>
      </w:pPr>
      <w:r>
        <w:t xml:space="preserve">If the probability score is ≥ 0.5 (threshold), the model flags the customer as “At-Risk / Delinquent” (Class 1).</w:t>
      </w:r>
    </w:p>
    <w:p>
      <w:pPr>
        <w:pStyle w:val="ListParagraph"/>
        <w:numPr>
          <w:ilvl w:val="1"/>
          <w:numId w:val="3"/>
        </w:numPr>
        <w:spacing w:after="80"/>
      </w:pPr>
      <w:r>
        <w:t xml:space="preserve">If the probability is &lt; 0.5, the customer is classified as “Non-Delinquent” (Class 0).</w:t>
      </w:r>
    </w:p>
    <w:p>
      <w:pPr>
        <w:pStyle w:val="Heading1"/>
      </w:pPr>
      <w:r>
        <w:rPr>
          <w:b/>
          <w:bCs/>
          <w:color w:val="0F2E4C"/>
        </w:rPr>
        <w:t xml:space="preserve">2. Justification for Model Choice</w:t>
      </w:r>
    </w:p>
    <w:p>
      <w:r>
        <w:t xml:space="preserve">For Geldium objective of identifying high-risk customers, </w:t>
      </w:r>
      <w:r>
        <w:rPr>
          <w:b/>
          <w:bCs/>
          <w:color w:val="0F2E4C"/>
        </w:rPr>
        <w:t xml:space="preserve">Logistic Regression</w:t>
      </w:r>
      <w:r>
        <w:t xml:space="preserve"> is the most appropriate predictive model. While Neural Networks might offer slightly higher accuracy on complex datasets, they function as “black boxes” which makes it incredibly difficult to explain </w:t>
      </w:r>
      <w:r>
        <w:rPr>
          <w:i/>
          <w:iCs/>
        </w:rPr>
        <w:t xml:space="preserve">why</w:t>
      </w:r>
      <w:r>
        <w:t xml:space="preserve"> a customer was flagged. In financial services, regulatory compliance and transparency are mandatory. Logistic Regression perfectly balances accuracy with high interpretability, allowing the Collections team to see exactly how variables like Debt to Income Ratio and Credit Utilization influence the final probability score. Furthermore, its probability-based output (e.g., an 85% risk vs. a 55% risk) enables the team to prioritize their intervention efforts based on the severity of the risk, making it highly scalable and easy to deploy in Geldium daily operations.</w:t>
      </w:r>
    </w:p>
    <w:p>
      <w:pPr>
        <w:pStyle w:val="Heading1"/>
      </w:pPr>
      <w:r>
        <w:rPr>
          <w:b/>
          <w:bCs/>
          <w:color w:val="0F2E4C"/>
        </w:rPr>
        <w:t xml:space="preserve">3. Evaluation Strategy</w:t>
      </w:r>
    </w:p>
    <w:p>
      <w:r>
        <w:t xml:space="preserve">To ensure the model is both highly accurate and ethically fair, we will evaluate it using the following strategy:</w:t>
      </w:r>
    </w:p>
    <w:p>
      <w:pPr>
        <w:pStyle w:val="ListParagraph"/>
        <w:numPr>
          <w:ilvl w:val="0"/>
          <w:numId w:val="3"/>
        </w:numPr>
        <w:spacing w:after="80"/>
      </w:pPr>
      <w:r>
        <w:rPr>
          <w:b/>
          <w:bCs/>
          <w:color w:val="0F2E4C"/>
        </w:rPr>
        <w:t xml:space="preserve">Key Evaluation Metrics:</w:t>
      </w:r>
    </w:p>
    <w:p>
      <w:pPr>
        <w:pStyle w:val="ListParagraph"/>
        <w:numPr>
          <w:ilvl w:val="1"/>
          <w:numId w:val="3"/>
        </w:numPr>
        <w:spacing w:after="80"/>
      </w:pPr>
      <w:r>
        <w:rPr>
          <w:b/>
          <w:bCs/>
          <w:color w:val="0F2E4C"/>
        </w:rPr>
        <w:t xml:space="preserve">Recall (Sensitivity):</w:t>
      </w:r>
      <w:r>
        <w:t xml:space="preserve"> This is the most critical metric. High recall ensures we successfully identify as many actual delinquent customers as possible, minimizing the financial loss of false negatives (predicting a customer is safe when they are actually at risk).</w:t>
      </w:r>
    </w:p>
    <w:p>
      <w:pPr>
        <w:pStyle w:val="ListParagraph"/>
        <w:numPr>
          <w:ilvl w:val="1"/>
          <w:numId w:val="3"/>
        </w:numPr>
        <w:spacing w:after="80"/>
      </w:pPr>
      <w:r>
        <w:rPr>
          <w:b/>
          <w:bCs/>
          <w:color w:val="0F2E4C"/>
        </w:rPr>
        <w:t xml:space="preserve">AUC-ROC Curve:</w:t>
      </w:r>
      <w:r>
        <w:t xml:space="preserve"> To measure how well the model distinguishes between the delinquent and non-delinquent classes across different probability thresholds.</w:t>
      </w:r>
    </w:p>
    <w:p>
      <w:pPr>
        <w:pStyle w:val="ListParagraph"/>
        <w:numPr>
          <w:ilvl w:val="1"/>
          <w:numId w:val="3"/>
        </w:numPr>
        <w:spacing w:after="80"/>
      </w:pPr>
      <w:r>
        <w:rPr>
          <w:b/>
          <w:bCs/>
          <w:color w:val="0F2E4C"/>
        </w:rPr>
        <w:t xml:space="preserve">Precision &amp; F1-Score:</w:t>
      </w:r>
      <w:r>
        <w:t xml:space="preserve"> To ensure we aren't flagging too many false positives, which would waste the Collections team's time.</w:t>
      </w:r>
    </w:p>
    <w:p>
      <w:pPr>
        <w:pStyle w:val="ListParagraph"/>
        <w:numPr>
          <w:ilvl w:val="0"/>
          <w:numId w:val="3"/>
        </w:numPr>
        <w:spacing w:after="80"/>
      </w:pPr>
      <w:r>
        <w:rPr>
          <w:b/>
          <w:bCs/>
          <w:color w:val="0F2E4C"/>
        </w:rPr>
        <w:t xml:space="preserve">Bias Detection &amp; Fairness Checks:</w:t>
      </w:r>
    </w:p>
    <w:p>
      <w:pPr>
        <w:pStyle w:val="ListParagraph"/>
        <w:numPr>
          <w:ilvl w:val="1"/>
          <w:numId w:val="3"/>
        </w:numPr>
        <w:spacing w:after="80"/>
      </w:pPr>
      <w:r>
        <w:t xml:space="preserve">The model's predictions will be tested for </w:t>
      </w:r>
      <w:r>
        <w:rPr>
          <w:b/>
          <w:bCs/>
          <w:color w:val="0F2E4C"/>
        </w:rPr>
        <w:t xml:space="preserve">Disparate Impact</w:t>
      </w:r>
      <w:r>
        <w:t xml:space="preserve"> to guarantee it does not systematically disadvantage or unfairly flag specific demographic groups based on location or employment status.</w:t>
      </w:r>
    </w:p>
    <w:p>
      <w:pPr>
        <w:pStyle w:val="ListParagraph"/>
        <w:numPr>
          <w:ilvl w:val="0"/>
          <w:numId w:val="3"/>
        </w:numPr>
        <w:spacing w:after="80"/>
      </w:pPr>
      <w:r>
        <w:rPr>
          <w:b/>
          <w:bCs/>
          <w:color w:val="0F2E4C"/>
        </w:rPr>
        <w:t xml:space="preserve">Ethical Considerations &amp; Improvements:</w:t>
      </w:r>
    </w:p>
    <w:p>
      <w:pPr>
        <w:pStyle w:val="ListParagraph"/>
        <w:numPr>
          <w:ilvl w:val="1"/>
          <w:numId w:val="3"/>
        </w:numPr>
        <w:spacing w:after="80"/>
      </w:pPr>
      <w:r>
        <w:t xml:space="preserve">If bias is detected (e.g., proxy bias where ZIP code acts as a proxy for race/income), those specific features will be removed. If the model performs poorly overall (e.g., due to the 16% minority class imbalance observed in EDA), we will apply dataset rebalancing techniques (like oversampling delinquent cases) or adjust the classification threshold via hyperparameter tuning.</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A"/>
        <w:sz w:val="18"/>
        <w:szCs w:val="18"/>
      </w:rPr>
      <w:t xml:space="preserve">Page </w:t>
    </w:r>
    <w:r>
      <w:rPr>
        <w:color w:val="5A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F" w:sz="4" w:space="4"/>
      </w:pBdr>
      <w:jc w:val="right"/>
    </w:pPr>
    <w:r>
      <w:rPr>
        <w:b/>
        <w:bCs/>
        <w:color w:val="5A6B7A"/>
        <w:sz w:val="18"/>
        <w:szCs w:val="18"/>
      </w:rPr>
      <w:t xml:space="preserve">Predictive Model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rPr>
        <w:color w:val="1F7A8C"/>
      </w:rPr>
    </w:lvl>
    <w:lvl w:ilvl="1" w15:tentative="1">
      <w:start w:val="1"/>
      <w:numFmt w:val="bullet"/>
      <w:lvlText w:val="–"/>
      <w:lvlJc w:val="left"/>
      <w:pPr>
        <w:ind w:left="1000" w:hanging="260"/>
      </w:pPr>
      <w:rPr>
        <w:color w:val="5A6B7A"/>
      </w:rPr>
    </w:lvl>
  </w:abstractNum>
  <w:abstractNum w:abstractNumId="3" w15:restartNumberingAfterBreak="0">
    <w:multiLevelType w:val="hybridMultilevel"/>
    <w:lvl w:ilvl="0" w15:tentative="1">
      <w:start w:val="1"/>
      <w:numFmt w:val="decimal"/>
      <w:lvlText w:val="%1."/>
      <w:lvlJc w:val="left"/>
      <w:pPr>
        <w:ind w:left="500" w:hanging="300"/>
      </w:pPr>
      <w:rPr>
        <w:b/>
        <w:bCs/>
        <w:color w:val="0F2E4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8C" w:sz="8" w:space="6"/>
      </w:pBdr>
      <w:spacing w:after="160" w:before="320"/>
      <w:outlineLvl w:val="0"/>
    </w:pPr>
    <w:rPr>
      <w:rFonts w:ascii="Calibri" w:cs="Calibri" w:eastAsia="Calibri" w:hAnsi="Calibri"/>
      <w:b/>
      <w:bCs/>
      <w:color w:val="0F2E4C"/>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7A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2026-08-16T12:24:56.195Z</dcterms:created>
  <dcterms:modified xsi:type="dcterms:W3CDTF">2026-08-16T12:24:56.195Z</dcterms:modified>
</cp:coreProperties>
</file>

<file path=docProps/custom.xml><?xml version="1.0" encoding="utf-8"?>
<Properties xmlns="http://schemas.openxmlformats.org/officeDocument/2006/custom-properties" xmlns:vt="http://schemas.openxmlformats.org/officeDocument/2006/docPropsVTypes"/>
</file>