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My background leading complex, multi-year programs at Meta, including scaling initiatives supporting a multi-$100M portfolio like the Quest 3 launch, provides a robust foundation for the Principal TPM role within Roblox's Detection &amp; Response team. I specialize in translating ambiguous requirements into executable strategies and operationalizing critical functions at global scale. My experience in driving strategic alignment across large organizations and co-owning risk programs directly prepares me to enhance security resilience and regulatory compliance through sophisticated incident response governance.</w:t>
      </w:r>
    </w:p>
    <w:p>
      <w:r>
        <w:t>This role presents a compelling opportunity to apply my leadership in operationalizing high-impact programs and driving clarity in high-pressure scenarios to Roblox’s critical security mission. I am prepared to establish durable systems, orchestrate robust incident response governance, and elevate how the organization operationalizes risk for resilient, secure operations. I am confident my experience will be a strategic asset in protecting Roblox’s global community.</w:t>
      </w:r>
    </w:p>
    <w:p>
      <w:r>
        <w:t>Thanks and Regards,</w:t>
      </w:r>
    </w:p>
    <w:p>
      <w:r>
        <w:t>Mrunal Shirude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Roboto" w:hAnsi="Roboto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Roboto" w:hAnsi="Roboto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Roboto" w:hAnsi="Roboto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Roboto" w:hAnsi="Roboto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Roboto" w:hAnsi="Roboto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Roboto" w:hAnsi="Roboto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Roboto" w:hAnsi="Roboto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Roboto" w:hAnsi="Roboto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Roboto" w:hAnsi="Roboto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Roboto" w:hAnsi="Roboto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