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research-to-productization for AI-driven AR/VR input, managing transition from ambiguity to stable global deployment at scale.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for input modalities, enhancing model robustness through adversarial training and ensuring diversity.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Collaborated with research scientists to define key performance indicators and loss functions, directly improving model performance and quality.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xfn teams across software &amp; hardware to drive execution &amp; launch of Quest 3 in 21 countries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strategic planning and executive reviews for a 350-member organization, aligning global technical priorities with company-wide AI/hardware goals.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Optimized intake processes for DevOps and external partners, reducing triage time by 7X and improving operational efficiency.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senior leadership to enhance global multi-site operational models, driving efficiency and predictable on-time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PayPal's largest multi-tenant platform consolidation, improving architectural modularity and reducing latency by 55% for critical daily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Co-owned critical risk programs and led strategy for a global product expansion, ensuring stability for millions of users across multiple countries.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