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research-to-productization for industry-first AI-driven AR/VR input devices, navigating high ambiguity to global deployment.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Designed ground-truth annotation schemas for reinforcement learning models, ensuring human-centric AI behavior alignment.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a strategic pivot to synthetic data generation, cutting collection costs while boosting AI model robustness and diversity.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cross-functional execution and global launch for Quest 3 across 21 countries.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Directed strategic planning and executive reviews for a 350-member organization, aligning global goals with company-wide AI and hardware priorities.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Influenced executive leaders to optimize global multi-site operating models, improving operational efficiency and delivery timelines.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PayPal's largest multi-tenant platform consolidation across 8 brands and 5 geographies, enhancing architectural modularity and transaction efficiency.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Accelerated market entry velocity and reduced costs through multi-tenant, self-serve platform capabilities.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Co-owned risk programs for 'Funds Now' and led global expansion strategies for the 'trusted seller' initiative across 8 countries.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