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the full lifecycle of AI-driven hardware/software products, ensuring stable, safety-critical deployment from research to global launch.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Designed ground-truth annotation systems for AI reward models, aligning complex AI behaviors with human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Pioneered synthetic data generation for AI models, dramatically reducing costs and enhancing model robustness for complex systems.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Liaised with research scientists to develop KPIs and loss functions which improved model performance &amp;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complex cross-functional software and hardware programs, leading global launches for consumer devices.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strategic planning and executive reviews, aligning global organizations on critical AI and hardware launch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Improved global multi-site operational models, enhancing delivery efficiency and ensuring critical program timelines.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Meta’s first ever device decommission (Portal) through KTLO plans &amp; external comms while optimizing costs.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large-scale multi-tenant platform consolidations, improving architectural modularity and system performance for daily transactions.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critical risk programs for high-stakes financial products, enabling global expansion for over 4M users.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