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productization of industry-first AI-driven AR/VR interfaces, managing transition from high-ambiguity research to stable global deployment.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 for input modalities, reducing costs by 75% and enhancing model robustness and diversity.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Partnered with cross-functional software and hardware teams to execute and launch Quest 3 across 21 countries.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Managed strategic planning and high-visibility executive reviews for a 350-member organization, aligning global technical pillars with company-wide priorities.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Influenced executive leadership to optimize global multi-site operational models, enhancing delivery efficiency and timelines.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Meta's first device decommission (Portal), managing KTLO plans, external communications, and cost optimization.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PayPal's largest multi-tenant platform consolidation across 8 brands, reducing latency by 55% for 99.3% of daily transactions.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Co-owned critical risk programs for 'Funds Now' product, driving global expansion and trusted seller initiatives impacting 4M+ sellers.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