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Spearheaded productization of AI-driven systems, transitioning high-ambiguity research into stable global deployment with robust infrastructure support.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Designed and implemented data schemas for AI model training, optimizing learning processes and aligning system behaviors with performance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Pioneered synthetic data generation strategies, significantly reducing operational costs and enhancing model robustness for complex AI systems.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global launches for complex hardware and software initiatives, driving cross-functional execution across 21 countries with large stakeholder groups.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Drove strategic planning and executive reviews for a 350-member organization, aligning infrastructure goals with company-wide AI and hardware priorities across global sites.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Optimized critical intake processes, reducing system triage time and improving program velocity across multiple technology teams and external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Influenced leaders to improve global multi-site team op-model, driving operational efficiency and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Meta’s first device decommission project, managing end-to-end lifecycle planning, external communications, and cost optimization for physical assets.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Directed large-scale, multi-region platform consolidation programs, improving architectural modularity and enhancing performance across critical infrastructure.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