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Architected and operationalized the first AI-driven AR/VR input system from research to global deployment, establishing robust launch and post-deployment stability protocols.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a strategic pivot to synthetic data for input modalities, enhancing model robustness and enabling adversarial training for critical system resilience.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Established closed-loop feedback systems for product evaluation, translating qualitative insights into actionable improvements for critical system behavior.</w:t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global launch of Quest 3 across 21 countries, coordinating complex cross-functional execution with hardware and software partners.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a 350-person organization, aligning global pillar goals with company-wide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intake processes for DevOps and external partners, significantly reducing triage time and enhancing operational efficiency for critical issues.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>
        <w:rPr>
          <w:rFonts w:ascii="Roboto" w:hAnsi="Roboto"/>
          <w:sz w:val="20"/>
          <w:highlight w:val="yellow"/>
        </w:rPr>
        <w:t>Navigated high-stakes organizational changes by establishing clear communication and fostering resilience, ensuring continuous operational stability during transitions.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Meta's inaugural device decommissioning program, orchestrating end-to-end KTLO plans and external communications to manage systemic risk and compliance.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consolidation, enhancing architectural modularity for critical transaction processing across 8 brands and 5 geographies.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and operationalized risk programs for critical payment products, driving fraud prevention strategy for a global user base exceeding 4M sellers.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