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AI-driven productization from high-ambiguity research through stable global deployment for AR/VR systems.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and implemented ground-truth annotation schemas for training reinforcement learning models, ensuring human-centric AI alignment.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generation for AI input modalities, enhancing model robustness and cost-efficiency.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Liaised with research scientists to define KPIs and loss functions, directly improving AI model performance and quality.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cross-functionally to drive global execution and launch of Quest 3 across 21 countries, integrating software and hardware.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executive reviews for a 350-member organization, aligning AI/hardware priorities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leaders to optimize global multi-site operational models, enhancing program efficiency and on-time delivery.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major multi-tenant platform consolidation across 8 brands/5 geographies, enhancing architectural modularity and transaction latency.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