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Spearheading the research and productization of the industry’s first AI-driven surface keyboard and touchpad for AR/VR; managed the transition from high-ambiguity research to stable global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Managed strategic planning and high-visibility executive reviews for a 350-member organization, aligning pillar goals with company-wide AI and hardware priorities across global sites (CA, WA, Zurich, London).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