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Staff Technical Program Manager position at Robinhood, a company I deeply admire for its audacious mission to democratize finance for all. My career has been dedicated to spearheading complex technical programs and orchestrating high-impact initiatives across renowned global platforms, from pioneering advanced AI/AR/VR productization at Meta to architecting large-scale platform consolidations and global expansions at PayPal. The opportunity to leverage this expertise to enhance the scalability, reliability, and operational excellence of Robinhood's infrastructure is incredibly compelling.</w:t>
      </w:r>
    </w:p>
    <w:p>
      <w:r>
        <w:t>Throughout my tenure at Meta, I led the strategic planning for a 350-member organization, translating ambitious research into globally deployed, market-first products and optimizing operational models across multi-site teams to improve execution speed and reduce overhead. Prior to this, at PayPal, I managed the consolidation of a multi-tenant payments platform across eight brands and five geographies, significantly improving architectural modularity, reducing latency by 55%, and enabling accelerated market entry and global user growth. These experiences underscore my ability to drive strategic vision, manage substantial technical investments (implicitly large budgets with $100M+ scale impacts), structure ambiguous problems, and implement robust program management mechanisms that deliver measurable outcomes and foster organizational agility.</w:t>
      </w:r>
    </w:p>
    <w:p>
      <w:r>
        <w:t>I am particularly drawn to Robinhood's commitment to building the future of finance through frontier technologies and its culture of high performance and impact. My background in leading large-scale distributed systems, coupled with a strong technical fluency to understand system architecture and evaluate design tradeoffs, aligns perfectly with the demands of strengthening Robinhood’s core systems. I am eager to bring my demonstrated ability to align diverse technical and executive stakeholders, mitigate critical risks, and drive innovation at scale to contribute directly to the stability and growth of Robinhood's infrastructure as it navigates the largest transfer of wealth in human history.</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