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research and productization of AI-driven AR/VR input, driving transition from high-ambiguity AI research to stable global deployment with technical rigor.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pivot to synthetic data for AI models, reducing collection costs by 75% and enhancing model robustness for AI-enabled, scalable architectures.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multi-product localization and global launch of flagship hardware (Quest 3) across 21 countries, orchestrating engineering and marketing partnerships.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strategic planning and executive reviews for 350-member organization, aligning global AI/hardware priorities and influencing investment decisions for AI platforms.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complex multi-tenant platform consolidation across 8 brands/5 geographies, modernizing architecture and reducing latency by 55% for global transactions.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