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</w:rPr>
        <w:t>Spearheaded research and productization of industry's first AI-driven AR/VR input, transitioning high-ambiguity AI research to stable global deployment for intelligent experiences.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Orchestrated strategic pivot to use synthetic data generation for input modalities, reducing collection costs by 75% while enabling adversarial training to address diversity requirements and improving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</w:rPr>
        <w:t>Managed strategic planning and executive reviews for 350-member cross-functional teams, aligning AI/hardware priorities and driving roadmap across global sites.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PayPal's largest multi-tenant platform consolidation across 8 brands and 5 geographies, improving architectural modularity and reducing latency by 55% for 99.3% of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