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</w:rPr>
        <w:t>Spearheaded R&amp;D and NPI of an industry-first AI-driven AR/VR input device, managing its journey from high-ambiguity research to stable global deployment.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</w:rPr>
        <w:t>Orchestrated strategic AI/ML pivot to synthetic data generation, optimizing input modalities to reduce costs by 75% and boost model robustness for developer productivity.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Managed strategic planning and high-visibility executive reviews for a 350-member organization, aligning pillar goals with company-wide AI and hardware priorities across global sites (CA, WA, Zurich, London).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PayPal's largest multi-tenant platform consolidation across 8 brands and 5 geographies, improving architectural modularity and reducing latency by 55% for 99.3% of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