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and drove end-to-end productization of first-ever AI capabilities, architecting programs from high-ambiguity research to stable global deployment and strategic ownership transition.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Orchestrated strategic pivot to use synthetic data generation for input modalities, reducing collection costs by 75% while enabling adversarial training to address diversity requirements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Owned strategic planning, operating rhythms, and executive reporting for a 350-member organization, ensuring strategy translation into outcomes and cross-functional alignment.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Directly managed TPMs, developing them as strategic program leaders and building a practice that improved global operating models, driving significant operational efficiency and impact.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critical risk programs and led strategy for 'trusted seller' initiatives, impacting 4M+ global users, demonstrating familiarity with GRC frameworks and risk management.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