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</w:rPr>
        <w:t>Spearheaded research-to-productization of AI-driven AR/VR interaction systems, managing transition from high-ambiguity research to global deployment.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Oversaw design and implementation of ground-truth annotation schemas to train reward models for reinforcement learning, aligning model behaviors with human-centric interaction standards.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</w:rPr>
        <w:t>Orchestrated strategic pivot to synthetic data for input modalities, cutting costs by 75% &amp; improving AI model robustness via adversarial training.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Liaised with research scientists to develop KPIs and loss functions which improved model performance &amp;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xfn teams across software &amp; hardware to drive execution &amp; launch of Quest 3 in 21 countries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Managed strategic planning and high-visibility executive reviews for a 350-member organization, aligning pillar goals with company-wide AI and hardware priorities across global sites (CA, WA, Zurich, London).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Reduced triage time by 7X through intake process optimizations for DevOps and external technology partners.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Influenced leaders to improve global multi-site team op-model, driving operational efficiency and on-time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Meta’s first ever device decommission (Portal) through KTLO plans &amp; external comms while optimizing costs.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PayPal's largest multi-tenant platform consolidation across 8 brands and 5 geographies, improving architectural modularity and reducing latency by 55% for 99.3% of daily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Co-owned risk programs for the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'Funds Now'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product &amp; led strategy for the ‘trusted seller’ initiative; led global expansion to over 4M sellers in 8 countries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