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research &amp; productization of novel AI-driven AR/VR input, navigating high-ambiguity to global deployment of new AI powered features.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Strategically pivoted to synthetic data for AI input modalities, reducing costs by 75% while enhancing model robustness and meeting diversity requirements.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with cross-functional software/hardware teams to drive execution and global launch of new app products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350-member org, aligning AI/hardware priorities and influencing coherent spend plans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multi-tenant platform consolidation across 8 brands/5 geographies, enhancing architectural modularity and first/third-party integration for scaled products.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