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research-to-productization of first AI-driven AR/VR input devices, enabling stable global deployment for XR platforms.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input modalities, reducing costs by 75% while boosting Multimodal AI model robustness and diversity.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execution and global launch of Quest 3 across 21 countries, delivering critical XR demo experiences for internal/external stakeholders.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strategic planning and high-visibility executive reviews for a 350-member XR organization, aligning global AI/hardware priorities for future platforms.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(8 brands/5 geographies), improving architectural modularity and reducing latency by 55%.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