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end-to-end productization of industry-first AI-driven interaction systems for AR/VR, transitioning nascent, ambiguous research into stable global deployment, enhancing user experiences.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high-visibility executive reviews for a 350-member organization, aligning cross-functional goals with company-wide AI priorities, forging relationships with senior leaders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senior leaders to optimize global, multi-site operating models, driving exceptional delivery excellence, and enhancing operational efficiency across technology organizations.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global, multi-tenant platform consolidation across 8 brands and 5 geographies, defining and improving the operating framework to achieve 55% latency reduction and 99.3% transaction efficiency.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