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Spearheaded research &amp; productization of industry-first AI-driven AR/VR input systems, transitioning from high-ambiguity research to global deployment, bolstering user safety &amp; platform integrity.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strategic pivot to synthetic data for input modalities, cutting costs 75% while enabling adversarial training, improving AI model robustness for user security.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xfn teams across software &amp; hardware to drive execution &amp; launch of Quest 3 in 21 countries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Managed strategic planning &amp; high-visibility executive reviews for a 350-member org, aligning company-wide AI priorities &amp; influencing senior leaders across global sites.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PayPal's largest multi-tenant platform consolidation across 8 brands/5 geographies, enhancing architectural modularity and reducing latency for critical platform integrity.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Co-owned critical risk programs &amp; led ‘trusted seller’ initiative, driving strategy for user safety and platform integrity at scale for 4M+ sellers across 8 countries.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