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Spearheading the research and productization of the industry’s first AI-driven surface keyboard and touchpad for AR/VR; managed the transition from high-ambiguity research to stable global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synthetic data generation for AI/ML input modalities, reducing data collection costs by 75%, enhancing model robustness, and contributing to cutting-edge AI acceleration.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multi-regional execution and global launch of Quest 3 across 21 countries, influencing 100+ cross-functional stakeholders without direct authority to achieve predictable outcomes.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executive governance for a 350-member global organization, aligning AI/hardware infrastructure priorities and multi-year investment strategies with C-suite vision.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Meta's inaugural device decommissioning program, managing its end-to-end lifecycle, optimizing costs, and ensuring sustainable asset management.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brands/5 geographies, improving architectural modularity and reducing latency for multi-million daily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