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</w:rPr>
        <w:t>Spearheaded research &amp; productization of first AI-driven AR/VR keyboard/touchpad, driving execution from high-ambiguity research to stable global deployment.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Orchestrated strategic pivot to use synthetic data generation for input modalities, reducing collection costs by 75% while enabling adversarial training to address diversity requirements and improving model robustness.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xfn teams across software &amp; hardware to drive execution &amp; launch of Quest 3 in 21 countries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Managed strategic planning and high-visibility executive reviews for a 350-member organization, aligning pillar goals with company-wide AI and hardware priorities across global sites (CA, WA, Zurich, London).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Influenced leaders to improve global multi-site team op-model, driving operational efficiency and on-time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</w:rPr>
        <w:t>Led high-impact PayPal payments platform consolidation across 8 brands/5 geographies, boosting modularity and reducing latency by 55% for 99.3% of daily transactions.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