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Spearheading the research and productization of the industry’s first AI-driven surface keyboard and touchpad for AR/VR; managed the transition from high-ambiguity research to stable global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Orchestrated strategic pivot to synthetic data generation, reducing collection costs by 75% and improving model robustness for complex AI systems.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</w:rPr>
        <w:t>Led strategic planning and executive reviews for a 350-member global organization, aligning AI/hardware priorities to define and drive execution strategy.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