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research and productization of industry-first AI-driven AR/VR input systems, navigating 0-to-1 ambiguity to stable global scaled delivery.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and implemented ground-truth annotation schemas for ML reward models, a key technical strategy in optimizing model behaviors for scaled decisioning systems.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input modalities, optimizing ML model robustness and costs by 75% for scaled solutions.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executive reviews for a 350-member organization, aligning cross-functional goals and technical strategies across global sites.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consolidation, a large-scale software project, improving architectural modularity and reducing latency by 55% for scaled delivery.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