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the research and productionization of complex AI-driven interaction systems for AR/VR, managing the intricate transition from high-ambiguity foundational research to stable, globally deployed applications, directly analogous to the robust development pipelines required for autonomous vehicle systems.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Oversaw the design and implementation of sophisticated ground-truth annotation schemas and reward models crucial for reinforcement learning, ensuring model behaviors aligned with human-centric interaction standards and paving the way for trustworthy, safety-critical autonomous decision-making.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Pioneered multi-modal data collection strategies, including Motion Capture (MoCap), to curate high-fidelity demonstration datasets for supervised fine-tuning, significantly improving model accuracy for complex environmental understanding and laying the groundwork for advanced perception systems in autonomous vehicles.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a strategic pivot to leverage synthetic data generation for critical input modalities, realizing a 75% reduction in data collection costs while enabling adversarial training to proactively address diversity requirements and dramatically improve AI model robustness, a critical advantage for autonomous system resilience.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Managed strategic planning and high-visibility executive reviews for a 350-member organization, expertly aligning pillar goals with overarching company AI and hardware priorities across global sites, directly transferable to orchestrating large-scale autonomy programs and integrating AI/ML roadmaps with vehicle hardware development.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Influenced senior leaders to implement a more agile global multi-site operational model, significantly enhancing operational efficiency and accelerating on-time delivery for complex technical programs, directly applicable to optimizing the distributed development workflows for Rivian’s autonomy initiatives.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PayPal's largest multi-tenant platform consolidation across 8 brands and 5 geographies, enhancing architectural modularity and achieving a 55% reduction in latency for 99.3% of daily transactions, demonstrating a profound capability to scale and optimize mission-critical, high-throughput systems essential for autonomous vehicle infrastructure.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Co-owned critical risk programs for high-stakes products and led strategic initiatives for global expansion to over 4 million users across 8 countries, underscoring expertise in managing inherent risks and navigating complex operational landscapes, paramount for the safe and regulated deployment of autonomous technology.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