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Interest Rate and Risk Sentiment Network:</w:t>
      </w:r>
    </w:p>
    <w:p>
      <w:pPr>
        <w:pStyle w:val="Heading1"/>
      </w:pPr>
      <w:r>
        <w:t>Graph Analysis of Thai SET50 Banking Stocks</w:t>
      </w:r>
    </w:p>
    <w:p>
      <w:r>
        <w:rPr>
          <w:sz w:val="22"/>
        </w:rPr>
        <w:t>**การวิเคราะห์เครือข่ายผลกระทบของดอกเบี้ยโลก ค่าเงิน และความเสี่ยงตลาด</w:t>
      </w:r>
    </w:p>
    <w:p>
      <w:r>
        <w:rPr>
          <w:sz w:val="22"/>
        </w:rPr>
        <w:t>ต่อพฤติกรรมราคาหุ้นธนาคารไทยใน SET50**</w:t>
      </w:r>
    </w:p>
    <w:p/>
    <w:p/>
    <w:p/>
    <w:p>
      <w:pPr>
        <w:pStyle w:val="Heading2"/>
      </w:pPr>
      <w:r>
        <w:t>1. Research Question</w:t>
      </w:r>
    </w:p>
    <w:p/>
    <w:p>
      <w:pPr>
        <w:pStyle w:val="Quote"/>
      </w:pPr>
      <w:r>
        <w:t>How do global interest rates, risk sentiment, FX movement, and financial sector ETFs</w:t>
      </w:r>
    </w:p>
    <w:p>
      <w:pPr>
        <w:pStyle w:val="Quote"/>
      </w:pPr>
      <w:r>
        <w:t>form a network of influence on Thai SET50 banking stocks?</w:t>
      </w:r>
    </w:p>
    <w:p/>
    <w:p/>
    <w:p/>
    <w:p>
      <w:pPr>
        <w:pStyle w:val="Heading2"/>
      </w:pPr>
      <w:r>
        <w:t>2. Dataset and Variables</w:t>
      </w:r>
    </w:p>
    <w:p/>
    <w:p>
      <w:r>
        <w:rPr>
          <w:sz w:val="22"/>
        </w:rPr>
        <w:t>|---|---|</w:t>
      </w:r>
    </w:p>
    <w:p/>
    <w:p>
      <w:r>
        <w:rPr>
          <w:sz w:val="22"/>
        </w:rPr>
        <w:t>**Period:** 2022-05-13 to 2026-06-26</w:t>
      </w:r>
    </w:p>
    <w:p>
      <w:r>
        <w:rPr>
          <w:sz w:val="22"/>
        </w:rPr>
        <w:t>**Frequency:** Weekly</w:t>
      </w:r>
    </w:p>
    <w:p>
      <w:r>
        <w:rPr>
          <w:sz w:val="22"/>
        </w:rPr>
        <w:t>**Observations:** 216 weeks</w:t>
      </w:r>
    </w:p>
    <w:p>
      <w:r>
        <w:rPr>
          <w:sz w:val="22"/>
        </w:rPr>
        <w:t>**Note:** Sample starts May 2022 to avoid SCB/SCBX structural continuity issues.</w:t>
      </w:r>
    </w:p>
    <w:p/>
    <w:p/>
    <w:p/>
    <w:p>
      <w:pPr>
        <w:pStyle w:val="Heading2"/>
      </w:pPr>
      <w:r>
        <w:t>3. Data Cleaning</w:t>
      </w:r>
    </w:p>
    <w:p/>
    <w:p>
      <w:pPr>
        <w:pStyle w:val="ListBullet"/>
      </w:pPr>
      <w:r>
        <w:t>Removed duplicate dates and columns.</w:t>
      </w:r>
    </w:p>
    <w:p>
      <w:pPr>
        <w:pStyle w:val="ListBullet"/>
      </w:pPr>
      <w:r>
        <w:t>Resampled all series to weekly (Friday/last available).</w:t>
      </w:r>
    </w:p>
    <w:p>
      <w:pPr>
        <w:pStyle w:val="ListBullet"/>
      </w:pPr>
      <w:r>
        <w:t>Forward-filled macro variables up to 1 week; never forward-filled stock prices.</w:t>
      </w:r>
    </w:p>
    <w:p>
      <w:pPr>
        <w:pStyle w:val="ListBullet"/>
      </w:pPr>
      <w:r>
        <w:t>Converted prices/FX/indices to weekly log returns: log(P_t / P_(t-1)).</w:t>
      </w:r>
    </w:p>
    <w:p>
      <w:pPr>
        <w:pStyle w:val="ListBullet"/>
      </w:pPr>
      <w:r>
        <w:t>Converted rates/yields to weekly first differences: rate_t minus rate_(t-1).</w:t>
      </w:r>
    </w:p>
    <w:p>
      <w:pPr>
        <w:pStyle w:val="ListBullet"/>
      </w:pPr>
      <w:r>
        <w:t>Flagged outliers by |z-score| &gt; 3.5 (not removed).</w:t>
      </w:r>
    </w:p>
    <w:p>
      <w:pPr>
        <w:pStyle w:val="ListBullet"/>
      </w:pPr>
      <w:r>
        <w:t>Verified SCB.BK price continuity from May 2022.</w:t>
      </w:r>
    </w:p>
    <w:p/>
    <w:p/>
    <w:p/>
    <w:p>
      <w:pPr>
        <w:pStyle w:val="Heading2"/>
      </w:pPr>
      <w:r>
        <w:t>4. Graph Schema</w:t>
      </w:r>
    </w:p>
    <w:p/>
    <w:p>
      <w:r>
        <w:rPr>
          <w:sz w:val="22"/>
        </w:rPr>
        <w:t>**Node Types:** Bank, ETF, MacroFactor, FX, Index, DerivedFactor</w:t>
      </w:r>
    </w:p>
    <w:p/>
    <w:p>
      <w:r>
        <w:rPr>
          <w:sz w:val="22"/>
        </w:rPr>
        <w:t>**Relationship Types:**</w:t>
      </w:r>
    </w:p>
    <w:p/>
    <w:p>
      <w:r>
        <w:rPr>
          <w:sz w:val="22"/>
        </w:rPr>
        <w:t>|---|---|---|</w:t>
      </w:r>
    </w:p>
    <w:p/>
    <w:p/>
    <w:p/>
    <w:p>
      <w:pPr>
        <w:pStyle w:val="Heading2"/>
      </w:pPr>
      <w:r>
        <w:t>5. Graph Analysis Results</w:t>
      </w:r>
    </w:p>
    <w:p/>
    <w:p>
      <w:pPr>
        <w:pStyle w:val="Heading3"/>
      </w:pPr>
      <w:r>
        <w:t>5.1 Centrality Results</w:t>
      </w:r>
    </w:p>
    <w:p/>
    <w:p>
      <w:r>
        <w:rPr>
          <w:sz w:val="22"/>
        </w:rPr>
        <w:t>|---|---|---|</w:t>
      </w:r>
    </w:p>
    <w:p/>
    <w:p>
      <w:r>
        <w:rPr>
          <w:sz w:val="22"/>
        </w:rPr>
        <w:t>**Interpretation:** The node with highest degree centrality is most broadly associated with</w:t>
      </w:r>
    </w:p>
    <w:p>
      <w:r>
        <w:rPr>
          <w:sz w:val="22"/>
        </w:rPr>
        <w:t>price movements across the financial network. The betweenness node acts as the primary</w:t>
      </w:r>
    </w:p>
    <w:p>
      <w:r>
        <w:rPr>
          <w:sz w:val="22"/>
        </w:rPr>
        <w:t>bridge between global macro conditions and Thai banking stock behavior.</w:t>
      </w:r>
    </w:p>
    <w:p/>
    <w:p>
      <w:pPr>
        <w:pStyle w:val="Heading3"/>
      </w:pPr>
      <w:r>
        <w:t>5.2 Community Detection</w:t>
      </w:r>
    </w:p>
    <w:p/>
    <w:p>
      <w:r>
        <w:rPr>
          <w:sz w:val="22"/>
        </w:rPr>
        <w:t>**Louvain Communities:** 4 communities detected.</w:t>
      </w:r>
    </w:p>
    <w:p/>
    <w:p>
      <w:r>
        <w:rPr>
          <w:sz w:val="22"/>
        </w:rPr>
        <w:t>|---|---|</w:t>
      </w:r>
    </w:p>
    <w:p/>
    <w:p>
      <w:r>
        <w:rPr>
          <w:sz w:val="22"/>
        </w:rPr>
        <w:t>**Interpretation:** Thai banking stocks and global macro/financial variables cluster into</w:t>
      </w:r>
    </w:p>
    <w:p>
      <w:r>
        <w:rPr>
          <w:sz w:val="22"/>
        </w:rPr>
        <w:t>communities. Variables within the same community exhibit stronger co-movement patterns.</w:t>
      </w:r>
    </w:p>
    <w:p/>
    <w:p>
      <w:pPr>
        <w:pStyle w:val="Heading3"/>
      </w:pPr>
      <w:r>
        <w:t>5.3 Raw vs Partial Correlation</w:t>
      </w:r>
    </w:p>
    <w:p/>
    <w:p>
      <w:r>
        <w:rPr>
          <w:sz w:val="22"/>
        </w:rPr>
        <w:t>|---|---|</w:t>
      </w:r>
    </w:p>
    <w:p/>
    <w:p>
      <w:r>
        <w:rPr>
          <w:sz w:val="22"/>
        </w:rPr>
        <w:t>**Interpretation:** After conditioning on all other variables, 23.3% of raw correlation</w:t>
      </w:r>
    </w:p>
    <w:p>
      <w:r>
        <w:rPr>
          <w:sz w:val="22"/>
        </w:rPr>
        <w:t>edges survive. Edges that disappear were driven by common factors. Surviving edges</w:t>
      </w:r>
    </w:p>
    <w:p>
      <w:r>
        <w:rPr>
          <w:sz w:val="22"/>
        </w:rPr>
        <w:t>represent more direct associations between pairs of variables.</w:t>
      </w:r>
    </w:p>
    <w:p/>
    <w:p>
      <w:pPr>
        <w:pStyle w:val="Heading3"/>
      </w:pPr>
      <w:r>
        <w:t>5.4 Factor Exposure (OLS)</w:t>
      </w:r>
    </w:p>
    <w:p/>
    <w:p>
      <w:r>
        <w:rPr>
          <w:sz w:val="22"/>
        </w:rPr>
        <w:t>**Most Globally Sensitive Bank:** KBANK_ret (2 significant factors)</w:t>
      </w:r>
    </w:p>
    <w:p/>
    <w:p>
      <w:r>
        <w:rPr>
          <w:sz w:val="22"/>
        </w:rPr>
        <w:t>OLS model: Bank_Return ~ XLF + EUFN + SET + USDTHB + VIX_CHANGE + DGS2_chg + DGS10_chg</w:t>
      </w:r>
    </w:p>
    <w:p>
      <w:r>
        <w:rPr>
          <w:sz w:val="22"/>
        </w:rPr>
        <w:t xml:space="preserve">           + US_YIELD_CURVE_chg + MORTGAGE30US_chg + BOT_RATE_CHANGE</w:t>
      </w:r>
    </w:p>
    <w:p/>
    <w:p>
      <w:r>
        <w:rPr>
          <w:sz w:val="22"/>
        </w:rPr>
        <w:t>Significant edges (p &lt;= 0.05) retained as INFLUENCES relationships.</w:t>
      </w:r>
    </w:p>
    <w:p/>
    <w:p>
      <w:pPr>
        <w:pStyle w:val="Heading3"/>
      </w:pPr>
      <w:r>
        <w:t>5.5 Regime-Aware Network</w:t>
      </w:r>
    </w:p>
    <w:p/>
    <w:p>
      <w:r>
        <w:rPr>
          <w:sz w:val="22"/>
        </w:rPr>
        <w:t>|---|---|---|---|---|---|</w:t>
      </w:r>
    </w:p>
    <w:p/>
    <w:p>
      <w:r>
        <w:rPr>
          <w:sz w:val="22"/>
        </w:rPr>
        <w:t>**Regime Classification:** Rolling 26-week change in FEDFUNDS and DGS2.</w:t>
      </w:r>
    </w:p>
    <w:p>
      <w:r>
        <w:rPr>
          <w:sz w:val="22"/>
        </w:rPr>
        <w:t>'Hiking or Restrictive' if either rate is rising over the past 26 weeks.</w:t>
      </w:r>
    </w:p>
    <w:p>
      <w:r>
        <w:rPr>
          <w:sz w:val="22"/>
        </w:rPr>
        <w:t>No look-ahead bias applied.</w:t>
      </w:r>
    </w:p>
    <w:p/>
    <w:p/>
    <w:p/>
    <w:p>
      <w:pPr>
        <w:pStyle w:val="Heading2"/>
      </w:pPr>
      <w:r>
        <w:t>6. Key Findings</w:t>
      </w:r>
    </w:p>
    <w:p/>
    <w:p>
      <w:r>
        <w:rPr>
          <w:sz w:val="22"/>
        </w:rPr>
        <w:t>1. **Most central node:** USDTHB (0.7647) — most broadly connected variable.</w:t>
      </w:r>
    </w:p>
    <w:p>
      <w:r>
        <w:rPr>
          <w:sz w:val="22"/>
        </w:rPr>
        <w:t>2. **Bridge variable:** USDTHB (0.5147) — connects clusters, transmits macro shocks.</w:t>
      </w:r>
    </w:p>
    <w:p>
      <w:r>
        <w:rPr>
          <w:sz w:val="22"/>
        </w:rPr>
        <w:t>3. **Most sensitive bank:** KBANK_ret (2 significant factors)</w:t>
      </w:r>
    </w:p>
    <w:p>
      <w:r>
        <w:rPr>
          <w:sz w:val="22"/>
        </w:rPr>
        <w:t>4. **Community structure:** 4 distinct communities (Louvain).</w:t>
      </w:r>
    </w:p>
    <w:p>
      <w:r>
        <w:rPr>
          <w:sz w:val="22"/>
        </w:rPr>
        <w:t>5. **Edge survival:** Only 23.3% of raw correlation edges survive partial adjustment.</w:t>
      </w:r>
    </w:p>
    <w:p>
      <w:r>
        <w:rPr>
          <w:sz w:val="22"/>
        </w:rPr>
        <w:t>6. **Regime effect:** Network structure differs between Fed hiking and cutting regimes.</w:t>
      </w:r>
    </w:p>
    <w:p>
      <w:r>
        <w:rPr>
          <w:sz w:val="22"/>
        </w:rPr>
        <w:t>7. **Risk transmission:** VIX and USDTHB linked to Thai bank returns (potential channels).</w:t>
      </w:r>
    </w:p>
    <w:p>
      <w:r>
        <w:rPr>
          <w:sz w:val="22"/>
        </w:rPr>
        <w:t>8. **Methodological note:** All findings are association-based (ex-post). No causal claims.</w:t>
      </w:r>
    </w:p>
    <w:p/>
    <w:p/>
    <w:p/>
    <w:p>
      <w:pPr>
        <w:pStyle w:val="Heading2"/>
      </w:pPr>
      <w:r>
        <w:t>7. Limitations</w:t>
      </w:r>
    </w:p>
    <w:p/>
    <w:p>
      <w:r>
        <w:rPr>
          <w:sz w:val="22"/>
        </w:rPr>
        <w:t>1. Financial behavior network derived from time series — not a traditional social network.</w:t>
      </w:r>
    </w:p>
    <w:p>
      <w:r>
        <w:rPr>
          <w:sz w:val="22"/>
        </w:rPr>
        <w:t>2. Edges represent statistical relationships, not causal links.</w:t>
      </w:r>
    </w:p>
    <w:p>
      <w:r>
        <w:rPr>
          <w:sz w:val="22"/>
        </w:rPr>
        <w:t>3. Correlation does not imply causation.</w:t>
      </w:r>
    </w:p>
    <w:p>
      <w:r>
        <w:rPr>
          <w:sz w:val="22"/>
        </w:rPr>
        <w:t>4. OLS with correlated regressors (DGS2, DGS10, US_YIELD_CURVE) may have multicollinearity.</w:t>
      </w:r>
    </w:p>
    <w:p>
      <w:r>
        <w:rPr>
          <w:sz w:val="22"/>
        </w:rPr>
        <w:t>5. Weekly data reduces noise but may miss intra-week dynamics.</w:t>
      </w:r>
    </w:p>
    <w:p>
      <w:r>
        <w:rPr>
          <w:sz w:val="22"/>
        </w:rPr>
        <w:t>6. Neo4j GDS results require Neo4j running with GDS plugin installed.</w:t>
      </w:r>
    </w:p>
    <w:p>
      <w:r>
        <w:rPr>
          <w:sz w:val="22"/>
        </w:rPr>
        <w:t>7. Sample size (~216 weeks) is sufficient but limited for high-dimensional partial correlation.</w:t>
      </w:r>
    </w:p>
    <w:p/>
    <w:p/>
    <w:p/>
    <w:p>
      <w:pPr>
        <w:pStyle w:val="Heading2"/>
      </w:pPr>
      <w:r>
        <w:t>8. Conclusion</w:t>
      </w:r>
    </w:p>
    <w:p/>
    <w:p>
      <w:r>
        <w:rPr>
          <w:sz w:val="22"/>
        </w:rPr>
        <w:t>This study constructs a financial behavior network linking global interest rates, risk sentiment,</w:t>
      </w:r>
    </w:p>
    <w:p>
      <w:r>
        <w:rPr>
          <w:sz w:val="22"/>
        </w:rPr>
        <w:t>FX movement, and financial sector ETFs to Thai SET50 banking stock returns.</w:t>
      </w:r>
    </w:p>
    <w:p/>
    <w:p>
      <w:r>
        <w:rPr>
          <w:sz w:val="22"/>
        </w:rPr>
        <w:t>Graph analysis reveals a structured network with distinct communities, clear bridge variables,</w:t>
      </w:r>
    </w:p>
    <w:p>
      <w:r>
        <w:rPr>
          <w:sz w:val="22"/>
        </w:rPr>
        <w:t>and measurable differences in network topology between Fed tightening and easing regimes.</w:t>
      </w:r>
    </w:p>
    <w:p/>
    <w:p>
      <w:r>
        <w:rPr>
          <w:sz w:val="22"/>
        </w:rPr>
        <w:t>The partial correlation adjustment substantially reduces the raw edge count, demonstrating</w:t>
      </w:r>
    </w:p>
    <w:p>
      <w:r>
        <w:rPr>
          <w:sz w:val="22"/>
        </w:rPr>
        <w:t>that many apparent correlations are driven by common global factors rather than direct pairwise</w:t>
      </w:r>
    </w:p>
    <w:p>
      <w:r>
        <w:rPr>
          <w:sz w:val="22"/>
        </w:rPr>
        <w:t>relationships.</w:t>
      </w:r>
    </w:p>
    <w:p/>
    <w:p/>
    <w:p>
      <w:r>
        <w:rPr>
          <w:sz w:val="22"/>
        </w:rPr>
        <w:t>*Generated by Thai Bank Graph Analysis Pipeline — Social Network &amp; Media Analysis, Midterm Project*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