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Times New Roman" w:cs="Times New Roman" w:eastAsia="Times New Roman" w:hAnsi="Times New Roman"/>
          <w:b/>
          <w:bCs/>
          <w:sz w:val="26"/>
          <w:szCs w:val="26"/>
        </w:rPr>
        <w:t xml:space="preserve">การวิเคราะห์เครือข่ายทางสังคมของหุ้นธนาคารไทยและปัจจัยการเงินโลก</w:t>
      </w:r>
    </w:p>
    <w:p>
      <w:pPr>
        <w:spacing w:after="80" w:before="0"/>
        <w:jc w:val="center"/>
      </w:pPr>
      <w:r>
        <w:rPr>
          <w:rFonts w:ascii="Times New Roman" w:cs="Times New Roman" w:eastAsia="Times New Roman" w:hAnsi="Times New Roman"/>
          <w:i/>
          <w:iCs/>
          <w:sz w:val="18"/>
          <w:szCs w:val="18"/>
        </w:rPr>
        <w:t xml:space="preserve">Social Network Analysis of Thai Banking Stocks and Global Financial Factors</w:t>
      </w:r>
    </w:p>
    <w:p>
      <w:pPr>
        <w:spacing w:after="40" w:before="100"/>
      </w:pPr>
      <w:r>
        <w:rPr>
          <w:rFonts w:ascii="Times New Roman" w:cs="Times New Roman" w:eastAsia="Times New Roman" w:hAnsi="Times New Roman"/>
          <w:b/>
          <w:bCs/>
          <w:sz w:val="20"/>
          <w:szCs w:val="20"/>
        </w:rPr>
        <w:t xml:space="preserve">1. ข้อมูลนักศึกษา</w:t>
      </w:r>
    </w:p>
    <w:p>
      <w:pPr>
        <w:spacing w:after="60" w:before="0" w:line="252" w:lineRule="auto"/>
        <w:jc w:val="both"/>
      </w:pPr>
      <w:r>
        <w:rPr>
          <w:rFonts w:ascii="Times New Roman" w:cs="Times New Roman" w:eastAsia="Times New Roman" w:hAnsi="Times New Roman"/>
          <w:b/>
          <w:bCs/>
          <w:sz w:val="20"/>
          <w:szCs w:val="20"/>
        </w:rPr>
        <w:t xml:space="preserve">ชื่อ-นามสกุล: </w:t>
      </w:r>
      <w:r>
        <w:rPr>
          <w:rFonts w:ascii="Times New Roman" w:cs="Times New Roman" w:eastAsia="Times New Roman" w:hAnsi="Times New Roman"/>
          <w:sz w:val="20"/>
          <w:szCs w:val="20"/>
        </w:rPr>
        <w:t xml:space="preserve">[ชื่อ นามสกุล]     </w:t>
      </w:r>
      <w:r>
        <w:rPr>
          <w:rFonts w:ascii="Times New Roman" w:cs="Times New Roman" w:eastAsia="Times New Roman" w:hAnsi="Times New Roman"/>
          <w:b/>
          <w:bCs/>
          <w:sz w:val="20"/>
          <w:szCs w:val="20"/>
        </w:rPr>
        <w:t xml:space="preserve">อีเมล: </w:t>
      </w:r>
      <w:r>
        <w:rPr>
          <w:rFonts w:ascii="Times New Roman" w:cs="Times New Roman" w:eastAsia="Times New Roman" w:hAnsi="Times New Roman"/>
          <w:sz w:val="20"/>
          <w:szCs w:val="20"/>
        </w:rPr>
        <w:t xml:space="preserve">[student@email.com]</w:t>
      </w:r>
    </w:p>
    <w:p>
      <w:pPr>
        <w:spacing w:after="40" w:before="100"/>
      </w:pPr>
      <w:r>
        <w:rPr>
          <w:rFonts w:ascii="Times New Roman" w:cs="Times New Roman" w:eastAsia="Times New Roman" w:hAnsi="Times New Roman"/>
          <w:b/>
          <w:bCs/>
          <w:sz w:val="20"/>
          <w:szCs w:val="20"/>
        </w:rPr>
        <w:t xml:space="preserve">2. ภาพรวมโปรเจกต์ (Overview)</w:t>
      </w:r>
    </w:p>
    <w:p>
      <w:pPr>
        <w:spacing w:after="60" w:before="0" w:line="252" w:lineRule="auto"/>
        <w:jc w:val="both"/>
      </w:pPr>
      <w:r>
        <w:rPr>
          <w:rFonts w:ascii="Times New Roman" w:cs="Times New Roman" w:eastAsia="Times New Roman" w:hAnsi="Times New Roman"/>
          <w:sz w:val="20"/>
          <w:szCs w:val="20"/>
        </w:rPr>
        <w:t xml:space="preserve">โปรเจกต์นี้สร้าง Financial Behavior Network โดยมองหุ้นธนาคารไทย 7 ตัวใน SET50 (BBL, KBANK, KKP, KTB, SCB, TISCO, TTB) และปัจจัยการเงินโลก 11 ตัว ได้แก่ อัตราดอกเบี้ยสหรัฐฯ ค่าเงินบาท ดัชนีความผันผวน VIX และ ETF ภาคการเงิน เป็น node ในกราฟ และความสัมพันธ์ระหว่างกันเป็น edge กราฟมีทั้งหมด 18 nodes และ 60 edges ที่ผ่านการตรวจสอบทางสถิติ วิเคราะห์จากข้อมูลรายสัปดาห์ 216 สัปดาห์ (พฤษภาคม 2565 - มิถุนายน 2569) เพื่อระบุว่า node ใดเป็น hub, bridge และ community ใดเคลื่อนไหวร่วมกัน ผลลัพธ์ช่วยอธิบายกลไกการส่งผ่านความเสี่ยงจากตลาดโลกสู่ธนาคารพาณิชย์ไทย</w:t>
      </w:r>
    </w:p>
    <w:p>
      <w:pPr>
        <w:spacing w:after="60" w:before="30"/>
        <w:jc w:val="center"/>
      </w:pPr>
      <w:r>
        <w:rPr>
          <w:rFonts w:ascii="Times New Roman" w:cs="Times New Roman" w:eastAsia="Times New Roman" w:hAnsi="Times New Roman"/>
          <w:i/>
          <w:iCs/>
          <w:color w:val="555555"/>
          <w:sz w:val="18"/>
          <w:szCs w:val="18"/>
        </w:rPr>
        <w:t xml:space="preserve">[รูปที่ 1: กราฟเครือข่ายการเงิน 18 nodes 60 edges สีแยกตามประเภท node - SVG]</w:t>
      </w:r>
    </w:p>
    <w:p>
      <w:pPr>
        <w:spacing w:after="40" w:before="100"/>
      </w:pPr>
      <w:r>
        <w:rPr>
          <w:rFonts w:ascii="Times New Roman" w:cs="Times New Roman" w:eastAsia="Times New Roman" w:hAnsi="Times New Roman"/>
          <w:b/>
          <w:bCs/>
          <w:sz w:val="20"/>
          <w:szCs w:val="20"/>
        </w:rPr>
        <w:t xml:space="preserve">3. รายละเอียดเพิ่มเติม (More Specific Detail)</w:t>
      </w:r>
    </w:p>
    <w:p>
      <w:pPr>
        <w:spacing w:after="60" w:before="0" w:line="252" w:lineRule="auto"/>
        <w:jc w:val="both"/>
      </w:pPr>
      <w:r>
        <w:rPr>
          <w:rFonts w:ascii="Times New Roman" w:cs="Times New Roman" w:eastAsia="Times New Roman" w:hAnsi="Times New Roman"/>
          <w:sz w:val="20"/>
          <w:szCs w:val="20"/>
        </w:rPr>
        <w:t xml:space="preserve">กราฟประกอบด้วย node 4 ประเภท: (1) Bank - ธนาคารพาณิชย์ไทย 7 แห่ง (2) MacroFactor - อัตราดอกเบี้ยสหรัฐฯ FEDFUNDS, DGS2, DGS10 และ Yield Curve Spread (3) FX/Index - ค่าเงิน USDTHB และดัชนี SET (4) ETF - XLF และ EUFN ตัวแทนภาคการเงินสหรัฐฯ/ยุโรป</w:t>
      </w:r>
    </w:p>
    <w:p>
      <w:pPr>
        <w:spacing w:after="60" w:before="0" w:line="252" w:lineRule="auto"/>
        <w:jc w:val="both"/>
      </w:pPr>
      <w:r>
        <w:rPr>
          <w:rFonts w:ascii="Times New Roman" w:cs="Times New Roman" w:eastAsia="Times New Roman" w:hAnsi="Times New Roman"/>
          <w:sz w:val="20"/>
          <w:szCs w:val="20"/>
        </w:rPr>
        <w:t xml:space="preserve">edge มี 4 ประเภท: CORRELATED_WITH (60 edges, Pearson + FDR), PARTIAL_CORRELATED_WITH (14 edges, GraphicalLassoCV), INFLUENCES (9 edges, OLS) และ LAGGED_CORRELATED_WITH (1 edge, lag 1-4 สัปดาห์) มีการคำนวณ Degree Centrality, Betweenness Centrality, PageRank, Louvain Community Detection และ K-Means Spectral Clustering (k = 4) ครบทุก node</w:t>
      </w:r>
    </w:p>
    <w:p>
      <w:pPr>
        <w:spacing w:after="40" w:before="100"/>
      </w:pPr>
      <w:r>
        <w:rPr>
          <w:rFonts w:ascii="Times New Roman" w:cs="Times New Roman" w:eastAsia="Times New Roman" w:hAnsi="Times New Roman"/>
          <w:b/>
          <w:bCs/>
          <w:sz w:val="20"/>
          <w:szCs w:val="20"/>
        </w:rPr>
        <w:t xml:space="preserve">4. ปัญหาที่มีอยู่และแรงจูงใจ (Existing Issues and Motivation)</w:t>
      </w:r>
    </w:p>
    <w:p>
      <w:pPr>
        <w:spacing w:after="60" w:before="0" w:line="252" w:lineRule="auto"/>
        <w:jc w:val="both"/>
      </w:pPr>
      <w:r>
        <w:rPr>
          <w:rFonts w:ascii="Times New Roman" w:cs="Times New Roman" w:eastAsia="Times New Roman" w:hAnsi="Times New Roman"/>
          <w:sz w:val="20"/>
          <w:szCs w:val="20"/>
        </w:rPr>
        <w:t xml:space="preserve">การวิเคราะห์ correlation แบบดั้งเดิมไม่สามารถแยก spurious correlation ที่เกิดจาก common factor ออกจากความสัมพันธ์ที่แท้จริงได้ การทดสอบหลายคู่พร้อมกันโดยไม่ควบคุม false positive rate ทำให้ type I error สูง และการมองสินทรัพย์แต่ละตัวแยกจากกันทำให้มองไม่เห็นโครงสร้าง network ว่าความเสี่ยงจากตลาดโลกส่งผ่านมาสู่ธนาคารไทยผ่านช่องทางใด</w:t>
      </w:r>
    </w:p>
    <w:p>
      <w:pPr>
        <w:spacing w:after="60" w:before="30"/>
        <w:jc w:val="center"/>
      </w:pPr>
      <w:r>
        <w:rPr>
          <w:rFonts w:ascii="Times New Roman" w:cs="Times New Roman" w:eastAsia="Times New Roman" w:hAnsi="Times New Roman"/>
          <w:i/>
          <w:iCs/>
          <w:color w:val="555555"/>
          <w:sz w:val="18"/>
          <w:szCs w:val="18"/>
        </w:rPr>
        <w:t xml:space="preserve">[รูปที่ 2: เปรียบเทียบจำนวน edge ก่อนและหลัง partial correlation (60 -&gt; 14) - SVG]</w:t>
      </w:r>
    </w:p>
    <w:p>
      <w:pPr>
        <w:spacing w:after="40" w:before="100"/>
      </w:pPr>
      <w:r>
        <w:rPr>
          <w:rFonts w:ascii="Times New Roman" w:cs="Times New Roman" w:eastAsia="Times New Roman" w:hAnsi="Times New Roman"/>
          <w:b/>
          <w:bCs/>
          <w:sz w:val="20"/>
          <w:szCs w:val="20"/>
        </w:rPr>
        <w:t xml:space="preserve">5. ข้อเสนอ (Propose)</w:t>
      </w:r>
    </w:p>
    <w:p>
      <w:pPr>
        <w:spacing w:after="60" w:before="0" w:line="252" w:lineRule="auto"/>
        <w:jc w:val="both"/>
      </w:pPr>
      <w:r>
        <w:rPr>
          <w:rFonts w:ascii="Times New Roman" w:cs="Times New Roman" w:eastAsia="Times New Roman" w:hAnsi="Times New Roman"/>
          <w:sz w:val="20"/>
          <w:szCs w:val="20"/>
        </w:rPr>
        <w:t xml:space="preserve">โปรเจกต์นี้เสนอกรอบการสร้างกราฟ multi-layer ที่ใช้ Benjamini-Hochberg FDR correction เพื่อลด false positive ในการสร้าง edge, ใช้ GraphicalLassoCV แยก direct relationship ออกจาก indirect, ตรวจสอบ monetary policy regime ด้วย rolling 26-week change ใน FEDFUNDS โดยไม่มี look-ahead bias เพื่อเปรียบเทียบโครงสร้าง network ระหว่างช่วงดอกเบี้ยขาขึ้นและขาลง และคำนวณ SNA centrality metrics เพื่อระบุ node ที่มีความสำคัญเชิงระบบ</w:t>
      </w:r>
    </w:p>
    <w:p>
      <w:pPr>
        <w:spacing w:after="40" w:before="100"/>
      </w:pPr>
      <w:r>
        <w:rPr>
          <w:rFonts w:ascii="Times New Roman" w:cs="Times New Roman" w:eastAsia="Times New Roman" w:hAnsi="Times New Roman"/>
          <w:b/>
          <w:bCs/>
          <w:sz w:val="20"/>
          <w:szCs w:val="20"/>
        </w:rPr>
        <w:t xml:space="preserve">6. การตั้งค่าการทดลอง (Experiment Setup)</w:t>
      </w:r>
    </w:p>
    <w:p>
      <w:pPr>
        <w:spacing w:after="60" w:before="0" w:line="252" w:lineRule="auto"/>
        <w:jc w:val="both"/>
      </w:pPr>
      <w:r>
        <w:rPr>
          <w:rFonts w:ascii="Times New Roman" w:cs="Times New Roman" w:eastAsia="Times New Roman" w:hAnsi="Times New Roman"/>
          <w:sz w:val="20"/>
          <w:szCs w:val="20"/>
        </w:rPr>
        <w:t xml:space="preserve">แหล่งข้อมูล: Yahoo Finance (ราคาหุ้น, ETF, ค่าเงิน) และ FRED API (ดอกเบี้ยมหภาค) ข้อมูล resample เป็นรายสัปดาห์ (ราคาปิดวันศุกร์) 216 สัปดาห์ การแปลงข้อมูล: ราคาหุ้น -&gt; log return, อัตราดอกเบี้ย -&gt; first difference, VIX -&gt; log return, Yield Curve = DGS10 - DGS2 Pipeline: (1) Pearson + FDR (p_adj &lt; 0.05, |r| &gt;= 0.20) -&gt; 60 validated edges (2) GraphicalLassoCV (|r| &gt;= 0.15) -&gt; 14 direct edges (3) OLS regression per bank (p &lt;= 0.05) -&gt; 9 factor exposure edges (4) Cross-lag k=1-4 -&gt; 1 edge (5) NetworkX: Degree, Betweenness, PageRank, Louvain, K-Means k=4</w:t>
      </w:r>
    </w:p>
    <w:p>
      <w:pPr>
        <w:spacing w:after="60" w:before="30"/>
        <w:jc w:val="center"/>
      </w:pPr>
      <w:r>
        <w:rPr>
          <w:rFonts w:ascii="Times New Roman" w:cs="Times New Roman" w:eastAsia="Times New Roman" w:hAnsi="Times New Roman"/>
          <w:i/>
          <w:iCs/>
          <w:color w:val="555555"/>
          <w:sz w:val="18"/>
          <w:szCs w:val="18"/>
        </w:rPr>
        <w:t xml:space="preserve">[รูปที่ 3: ผังขั้นตอน pipeline - download, clean, feature, edge, SNA metrics - SVG]</w:t>
      </w:r>
    </w:p>
    <w:p>
      <w:pPr>
        <w:spacing w:after="40" w:before="100"/>
      </w:pPr>
      <w:r>
        <w:rPr>
          <w:rFonts w:ascii="Times New Roman" w:cs="Times New Roman" w:eastAsia="Times New Roman" w:hAnsi="Times New Roman"/>
          <w:b/>
          <w:bCs/>
          <w:sz w:val="20"/>
          <w:szCs w:val="20"/>
        </w:rPr>
        <w:t xml:space="preserve">7. ผลการทดลอง (Experiment Result)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900"/>
        <w:gridCol w:w="6800"/>
      </w:tblGrid>
      <w:tr>
        <w:tc>
          <w:tcPr>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jc w:val="left"/>
            </w:pPr>
            <w:r>
              <w:rPr>
                <w:rFonts w:ascii="Times New Roman" w:cs="Times New Roman" w:eastAsia="Times New Roman" w:hAnsi="Times New Roman"/>
                <w:b/>
                <w:bCs/>
                <w:sz w:val="18"/>
                <w:szCs w:val="18"/>
              </w:rPr>
              <w:t xml:space="preserve">ประเด็น</w:t>
            </w:r>
          </w:p>
        </w:tc>
        <w:tc>
          <w:tcPr>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jc w:val="left"/>
            </w:pPr>
            <w:r>
              <w:rPr>
                <w:rFonts w:ascii="Times New Roman" w:cs="Times New Roman" w:eastAsia="Times New Roman" w:hAnsi="Times New Roman"/>
                <w:b/>
                <w:bCs/>
                <w:sz w:val="18"/>
                <w:szCs w:val="18"/>
              </w:rPr>
              <w:t xml:space="preserve">ผลลัพธ์</w:t>
            </w:r>
          </w:p>
        </w:tc>
      </w:tr>
      <w:tr>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Hub หลัก</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USDTHB มี degree centrality สูงสุด (0.765) - เชื่อมต่อกับ node อื่นมากที่สุดใน network</w:t>
            </w:r>
          </w:p>
        </w:tc>
      </w:tr>
      <w:tr>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Bridge หลัก</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USDTHB มี betweenness centrality สูงสุด (0.515) - ทำหน้าที่สะพานระหว่าง US rate cluster กับ Thai bank cluster</w:t>
            </w:r>
          </w:p>
        </w:tc>
      </w:tr>
      <w:tr>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Isolated Node</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FEDFUNDS ไม่มี edge เลย ตลาดไทยไม่ตอบสนองต่อ policy rate สหรัฐฯ โดยตรงในระดับสัปดาห์</w:t>
            </w:r>
          </w:p>
        </w:tc>
      </w:tr>
      <w:tr>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Spurious Corr.</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76.7% ของ edge เป็น spurious - จาก 60 edges เหลือ 14 หลัง partial correlation</w:t>
            </w:r>
          </w:p>
        </w:tc>
      </w:tr>
      <w:tr>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Community</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4 กลุ่ม: (1) ธนาคารไทย+SET (2) US Yield Curve+USDTHB (3) XLF+EUFN+VIX (4) FEDFUNDS</w:t>
            </w:r>
          </w:p>
        </w:tc>
      </w:tr>
      <w:tr>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OLS Factors</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SET Index significant กับทุกธนาคาร (beta 0.21-0.73); KBANK sensitive ต่อ VIX; KKP ต่อ EUFN</w:t>
            </w:r>
          </w:p>
        </w:tc>
      </w:tr>
      <w:tr>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Regime Effect</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Hiking 83 สัปดาห์: 58 edges, survival 24.1%  |  Cutting 38 สัปดาห์: 50 edges, survival 30.0%</w:t>
            </w:r>
          </w:p>
        </w:tc>
      </w:tr>
      <w:tr>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Market Efficiency</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ไม่พบ lagged effect ที่ lag 1-4 สัปดาห์ - ตลาดไทยรับข้อมูลโลกทันที (Weak-form efficient)</w:t>
            </w:r>
          </w:p>
        </w:tc>
      </w:tr>
    </w:tbl>
    <w:p>
      <w:pPr>
        <w:spacing w:after="30" w:before="60"/>
      </w:pPr>
    </w:p>
    <w:p>
      <w:pPr>
        <w:spacing w:after="60" w:before="30"/>
        <w:jc w:val="center"/>
      </w:pPr>
      <w:r>
        <w:rPr>
          <w:rFonts w:ascii="Times New Roman" w:cs="Times New Roman" w:eastAsia="Times New Roman" w:hAnsi="Times New Roman"/>
          <w:i/>
          <w:iCs/>
          <w:color w:val="555555"/>
          <w:sz w:val="18"/>
          <w:szCs w:val="18"/>
        </w:rPr>
        <w:t xml:space="preserve">[รูปที่ 4: Centrality bar chart top-10 nodes (Degree, Betweenness, PageRank) - SVG]</w:t>
      </w:r>
    </w:p>
    <w:p>
      <w:pPr>
        <w:spacing w:after="60" w:before="30"/>
        <w:jc w:val="center"/>
      </w:pPr>
      <w:r>
        <w:rPr>
          <w:rFonts w:ascii="Times New Roman" w:cs="Times New Roman" w:eastAsia="Times New Roman" w:hAnsi="Times New Roman"/>
          <w:i/>
          <w:iCs/>
          <w:color w:val="555555"/>
          <w:sz w:val="18"/>
          <w:szCs w:val="18"/>
        </w:rPr>
        <w:t xml:space="preserve">[รูปที่ 5: Louvain community 4 กลุ่มพร้อมสมาชิก - SVG]</w:t>
      </w:r>
    </w:p>
    <w:p>
      <w:pPr>
        <w:spacing w:after="60" w:before="30"/>
        <w:jc w:val="center"/>
      </w:pPr>
      <w:r>
        <w:rPr>
          <w:rFonts w:ascii="Times New Roman" w:cs="Times New Roman" w:eastAsia="Times New Roman" w:hAnsi="Times New Roman"/>
          <w:i/>
          <w:iCs/>
          <w:color w:val="555555"/>
          <w:sz w:val="18"/>
          <w:szCs w:val="18"/>
        </w:rPr>
        <w:t xml:space="preserve">[รูปที่ 6: เปรียบเทียบจำนวน edge ช่วง Hiking vs. Cutting regime - SVG]</w:t>
      </w:r>
    </w:p>
    <w:p>
      <w:pPr>
        <w:spacing w:after="0" w:before="60"/>
        <w:jc w:val="center"/>
      </w:pPr>
      <w:r>
        <w:rPr>
          <w:rFonts w:ascii="Times New Roman" w:cs="Times New Roman" w:eastAsia="Times New Roman" w:hAnsi="Times New Roman"/>
          <w:i/>
          <w:iCs/>
          <w:color w:val="555555"/>
          <w:sz w:val="18"/>
          <w:szCs w:val="18"/>
        </w:rPr>
        <w:t xml:space="preserve">ผลลัพธ์ทั้งหมดตรวจสอบด้วย automated validation script (66/66 checks PASS) - โค้ดและข้อมูลพร้อม reproducibility</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Times New Roman" w:cs="Times New Roman" w:eastAsia="Times New Roman" w:hAnsi="Times New Roman"/>
        <w:color w:val="888888"/>
        <w:sz w:val="16"/>
        <w:szCs w:val="16"/>
      </w:rPr>
      <w:t xml:space="preserve">Page </w:t>
    </w:r>
    <w:r>
      <w:rPr>
        <w:rFonts w:ascii="Times New Roman" w:cs="Times New Roman" w:eastAsia="Times New Roman" w:hAnsi="Times New Roman"/>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color w:val="888888"/>
        <w:sz w:val="16"/>
        <w:szCs w:val="16"/>
      </w:rPr>
      <w:t xml:space="preserve">Social Network Analysis — Thai Banking Sector | Midterm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2026-06-29T14:26:33.752Z</dcterms:created>
  <dcterms:modified xsi:type="dcterms:W3CDTF">2026-06-29T14:26:33.754Z</dcterms:modified>
</cp:coreProperties>
</file>

<file path=docProps/custom.xml><?xml version="1.0" encoding="utf-8"?>
<Properties xmlns="http://schemas.openxmlformats.org/officeDocument/2006/custom-properties" xmlns:vt="http://schemas.openxmlformats.org/officeDocument/2006/docPropsVTypes"/>
</file>