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AA52B">
      <w:pPr>
        <w:pStyle w:val="2"/>
        <w:spacing w:before="360" w:after="1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i w:val="0"/>
          <w:iCs w:val="0"/>
          <w:color w:val="1F4E79"/>
          <w:sz w:val="32"/>
          <w:szCs w:val="32"/>
        </w:rPr>
        <w:t xml:space="preserve">1. </w:t>
      </w:r>
      <w:r>
        <w:rPr>
          <w:rFonts w:hint="default" w:cs="Arial"/>
          <w:b/>
          <w:bCs/>
          <w:i w:val="0"/>
          <w:iCs w:val="0"/>
          <w:color w:val="1F4E79"/>
          <w:sz w:val="32"/>
          <w:szCs w:val="32"/>
          <w:lang w:val="en-US"/>
        </w:rPr>
        <w:t>Integrated raw data</w:t>
      </w:r>
    </w:p>
    <w:p w14:paraId="69CF8693">
      <w:pPr>
        <w:pBdr>
          <w:bottom w:val="single" w:color="2E75B6" w:sz="4" w:space="0"/>
        </w:pBdr>
        <w:spacing w:before="100" w:after="100"/>
      </w:pPr>
    </w:p>
    <w:p w14:paraId="18F91AF2">
      <w:pPr>
        <w:spacing w:before="80" w:after="80"/>
      </w:pPr>
    </w:p>
    <w:p w14:paraId="3B929AF2">
      <w:pPr>
        <w:spacing w:before="8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19"/>
          <w:szCs w:val="19"/>
        </w:rPr>
        <w:t xml:space="preserve">All NaN values are </w:t>
      </w:r>
      <w:r>
        <w:rPr>
          <w:rFonts w:ascii="Arial" w:hAnsi="Arial" w:eastAsia="Arial" w:cs="Arial"/>
          <w:b/>
          <w:bCs/>
          <w:i w:val="0"/>
          <w:iCs w:val="0"/>
          <w:color w:val="1A1A1A"/>
          <w:sz w:val="19"/>
          <w:szCs w:val="19"/>
        </w:rPr>
        <w:t>structural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19"/>
          <w:szCs w:val="19"/>
        </w:rPr>
        <w:t xml:space="preserve"> — they arise because a field is not applicable to a given vehicle type, not due to data collection failure.</w:t>
      </w:r>
    </w:p>
    <w:p w14:paraId="33CE0C9F">
      <w:pPr>
        <w:spacing w:before="100" w:after="8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5"/>
        <w:gridCol w:w="949"/>
        <w:gridCol w:w="2143"/>
        <w:gridCol w:w="3523"/>
      </w:tblGrid>
      <w:tr w14:paraId="324CE4D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3191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FDE1E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C872C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NaN count &amp; cause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787C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2203331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8A351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Model_Year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14D43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D5785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7,385
(Conventional/Hybrid)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91CD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Model year (2012–2026). NaN for all Conventional/Hybrid — the NRCan CO₂ Canada source does not include a model year column.</w:t>
            </w:r>
          </w:p>
        </w:tc>
      </w:tr>
      <w:tr w14:paraId="3212A21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2F8B1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Make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F976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2A2F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1B68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Manufacturer name (e.g., ACURA, FORD, TESLA).</w:t>
            </w:r>
          </w:p>
        </w:tc>
      </w:tr>
      <w:tr w14:paraId="02580549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C06CC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ABBC6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72B2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D57E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Vehicle model name. May include trim suffixes: 4WD, AWD, FFV, SWB, LWB, EWB.</w:t>
            </w:r>
          </w:p>
        </w:tc>
      </w:tr>
      <w:tr w14:paraId="60FB6BC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C2A2DC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Vehicle_Class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E7D82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7C0F9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8B0B3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Body/size class (e.g., Compact, Mid-Size, SUV - Small, Full-Size Pickup Truck).</w:t>
            </w:r>
          </w:p>
        </w:tc>
      </w:tr>
      <w:tr w14:paraId="7BA61D6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90DC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Vehicle_Type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A70F8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20E9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D118C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Drivetrain category: Conventional/Hybrid | Battery Electric (BEV) | Plug-in Hybrid (PHEV).</w:t>
            </w:r>
          </w:p>
        </w:tc>
      </w:tr>
      <w:tr w14:paraId="5C6B4E6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DC5BA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Engine_Size_L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7D769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F190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1,195
(BEV)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CB488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ICE displacement in litres (0.6–8.4 L). NaN for BEVs which have no combustion engine.</w:t>
            </w:r>
          </w:p>
        </w:tc>
      </w:tr>
      <w:tr w14:paraId="48A26F2B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C065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Cylinders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2025E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29FB9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1,195
(BEV)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9D2D9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Number of engine cylinders (2–16). NaN for BEVs.</w:t>
            </w:r>
          </w:p>
        </w:tc>
      </w:tr>
      <w:tr w14:paraId="59E6C27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02611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Motor_kW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AE1A9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07D5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7,385
(Conventional/Hybrid)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03A40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Peak electric motor output in kW (35–930). NaN for Conventional/Hybrid which have no electric motor.</w:t>
            </w:r>
          </w:p>
        </w:tc>
      </w:tr>
      <w:tr w14:paraId="2EF8347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D8498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Transmission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6FCDA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02668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F6013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Full transmission code including gear count (e.g., AS6, M5, AV, A1). See code table in Section 1.2.</w:t>
            </w:r>
          </w:p>
        </w:tc>
      </w:tr>
      <w:tr w14:paraId="5B657EB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B9886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Fuel_Type_Primary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F87D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5BA5A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9E751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Primary fuel: X = regular gasoline, Z = premium gasoline, D = diesel, E = ethanol (E85), N = natural gas, B = electricity.</w:t>
            </w:r>
          </w:p>
        </w:tc>
      </w:tr>
      <w:tr w14:paraId="4D0D752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66928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Fuel_Type_Secondary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BE7A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7BB1C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8,580
(Conventional/Hybrid
+ BEV)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0C51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Secondary fuel for PHEV charge-sustaining mode (X or Z). NaN for all non-PHEV rows.</w:t>
            </w:r>
          </w:p>
        </w:tc>
      </w:tr>
      <w:tr w14:paraId="49032A7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9E3FD7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Fuel_Cons_City_L100km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42B22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5A53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1,195
(BEV)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045D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City fuel consumption in L/100 km (4.2–30.6). NaN for BEVs.</w:t>
            </w:r>
          </w:p>
        </w:tc>
      </w:tr>
      <w:tr w14:paraId="5DA22A90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E398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Fuel_Cons_Hwy_L100km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092D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65CD0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1,195
(BEV)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2E21C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Highway fuel consumption in L/100 km (4.0–20.6). NaN for BEVs.</w:t>
            </w:r>
          </w:p>
        </w:tc>
      </w:tr>
      <w:tr w14:paraId="6D4E952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6025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Fuel_Cons_Comb_L100km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3B72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4A109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1,195
(BEV)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C784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Combined fuel consumption (55% city / 45% hwy) in L/100 km (4.1–26.1). NaN for BEVs.</w:t>
            </w:r>
          </w:p>
        </w:tc>
      </w:tr>
      <w:tr w14:paraId="03FEAF6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49854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Fuel_Cons_Comb_mpg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2267D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8D14D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1,589
(BEV + PHEV)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BDB5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Combined fuel consumption in miles per imperial gallon (11–69). Only available for Conventional/Hybrid records.</w:t>
            </w:r>
          </w:p>
        </w:tc>
      </w:tr>
      <w:tr w14:paraId="520B5BD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FEE8E1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Elec_Cons_City_kWh100km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002E4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BF8A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7,779
(Conventional/Hybrid
+ PHEV)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3A41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City electricity consumption in kWh/100 km (13.7–45.2). Only available for BEVs.</w:t>
            </w:r>
          </w:p>
        </w:tc>
      </w:tr>
      <w:tr w14:paraId="1BA67F05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27659C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Elec_Cons_Hwy_kWh100km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DF2E8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8ADE7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7,779
(Conventional/Hybrid
+ PHEV)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1E32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Highway electricity consumption in kWh/100 km (14.8–49.8). Only available for BEVs.</w:t>
            </w:r>
          </w:p>
        </w:tc>
      </w:tr>
      <w:tr w14:paraId="0EE0962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5ADF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Elec_Cons_Comb_kWh100km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2972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D324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7,385
(Conventional/Hybrid)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3A291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Combined electricity consumption in kWh/100 km (1.8–47.3). NaN for Conventional/Hybrid.</w:t>
            </w:r>
          </w:p>
        </w:tc>
      </w:tr>
      <w:tr w14:paraId="7F11007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A4D6F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Elec_Range_km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A5B15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EDCD3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7,385
(Conventional/Hybrid)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5DB0A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All-electric range on a full charge in km (6–837). NaN for Conventional/Hybrid.</w:t>
            </w:r>
          </w:p>
        </w:tc>
      </w:tr>
      <w:tr w14:paraId="75104AD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AC56B1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Total_Range_km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98881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9711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7,385
(Conventional/Hybrid)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6169D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Total driving range in km. BEVs = Elec_Range_km. PHEVs = electric + gasoline combined (92–1,035 km). NaN for Conventional/Hybrid.</w:t>
            </w:r>
          </w:p>
        </w:tc>
      </w:tr>
      <w:tr w14:paraId="0486E7A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5C79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Recharge_Time_h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DF84C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C57A9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7,385
(Conventional/Hybrid)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5E43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Estimated Level-2 recharge time in hours (1.1–18.6). NaN for Conventional/Hybrid.</w:t>
            </w:r>
          </w:p>
        </w:tc>
      </w:tr>
      <w:tr w14:paraId="7A5F391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ACE85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CO2_Emissions_g_km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81D38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A7A0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
(BEV = true 0)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80454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★ TARGET VARIABLE. Tailpipe CO₂ in g/km for combined driving (0–522). BEVs = 0 (no tailpipe emissions).</w:t>
            </w:r>
          </w:p>
        </w:tc>
      </w:tr>
      <w:tr w14:paraId="5FC03ACE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DD54F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CO2_Rating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4A694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C8444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7,439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A8CA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Government CO₂ rating on a 1–10 scale (higher = cleaner). Only available for BEV/PHEV in recent model years.</w:t>
            </w:r>
          </w:p>
        </w:tc>
      </w:tr>
      <w:tr w14:paraId="5EA16E88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385AD1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Smog_Rating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152BA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E5B64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= 7,482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B4E4F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Government smog emissions rating 1–10 (higher = cleaner). Only available for BEV/PHEV in recent model years.</w:t>
            </w:r>
          </w:p>
        </w:tc>
      </w:tr>
    </w:tbl>
    <w:p w14:paraId="564B96E4">
      <w:pPr>
        <w:spacing w:before="160" w:after="80"/>
      </w:pPr>
    </w:p>
    <w:p w14:paraId="3556BA79">
      <w:pPr>
        <w:pStyle w:val="3"/>
        <w:spacing w:before="240" w:after="100"/>
      </w:pPr>
      <w:r>
        <w:rPr>
          <w:rFonts w:ascii="Arial" w:hAnsi="Arial" w:eastAsia="Arial" w:cs="Arial"/>
          <w:b/>
          <w:bCs/>
          <w:i w:val="0"/>
          <w:iCs w:val="0"/>
          <w:color w:val="2E75B6"/>
          <w:sz w:val="24"/>
          <w:szCs w:val="24"/>
        </w:rPr>
        <w:t>Code Reference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660"/>
      </w:tblGrid>
      <w:tr w14:paraId="4EACAA2F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3C2238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D96BCF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Transmission type</w:t>
            </w:r>
          </w:p>
        </w:tc>
      </w:tr>
      <w:tr w14:paraId="084CC14E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F763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A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4D55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Automatic</w:t>
            </w:r>
          </w:p>
        </w:tc>
      </w:tr>
      <w:tr w14:paraId="3F89C34A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C68E0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AM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CB85D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Automated manual</w:t>
            </w:r>
          </w:p>
        </w:tc>
      </w:tr>
      <w:tr w14:paraId="0B3459C3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9A9F8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AS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8541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Automatic with select shift</w:t>
            </w:r>
          </w:p>
        </w:tc>
      </w:tr>
      <w:tr w14:paraId="25EBBBF0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849AB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AV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FC602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Continuously variable (CVT)</w:t>
            </w:r>
          </w:p>
        </w:tc>
      </w:tr>
      <w:tr w14:paraId="41E1B23B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42867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80DCF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Manual</w:t>
            </w:r>
          </w:p>
        </w:tc>
      </w:tr>
      <w:tr w14:paraId="1CA96107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51462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3–10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1F237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Number of gears (appended to type code)</w:t>
            </w:r>
          </w:p>
        </w:tc>
      </w:tr>
    </w:tbl>
    <w:p w14:paraId="16CEFD5C">
      <w:pPr>
        <w:spacing w:before="120" w:after="8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7660"/>
      </w:tblGrid>
      <w:tr w14:paraId="767B3D6D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AAA912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6AC50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Fuel type</w:t>
            </w:r>
          </w:p>
        </w:tc>
      </w:tr>
      <w:tr w14:paraId="7B04021D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D58F4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X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CC55A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Regular gasoline</w:t>
            </w:r>
          </w:p>
        </w:tc>
      </w:tr>
      <w:tr w14:paraId="652DD6AC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CB7C48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Z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52B38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Premium gasoline</w:t>
            </w:r>
          </w:p>
        </w:tc>
      </w:tr>
      <w:tr w14:paraId="613E9C33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5BA5C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41C1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Diesel</w:t>
            </w:r>
          </w:p>
        </w:tc>
      </w:tr>
      <w:tr w14:paraId="51DC86BD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0F7E2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ABDE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Ethanol (E85)</w:t>
            </w:r>
          </w:p>
        </w:tc>
      </w:tr>
      <w:tr w14:paraId="10F598DB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30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5BF3C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Natural gas</w:t>
            </w:r>
          </w:p>
        </w:tc>
      </w:tr>
      <w:tr w14:paraId="59AEB5AF"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1B3344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B</w:t>
            </w:r>
          </w:p>
        </w:tc>
        <w:tc>
          <w:tcPr>
            <w:tcW w:w="7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0F048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Electricity (BEV &amp; PHEV primary)</w:t>
            </w:r>
          </w:p>
        </w:tc>
      </w:tr>
    </w:tbl>
    <w:p w14:paraId="61A0AC7B">
      <w:r>
        <w:br w:type="page"/>
      </w:r>
    </w:p>
    <w:p w14:paraId="062C26FE">
      <w:pPr>
        <w:pStyle w:val="2"/>
        <w:numPr>
          <w:ilvl w:val="0"/>
          <w:numId w:val="1"/>
        </w:numPr>
        <w:spacing w:before="360" w:after="140"/>
        <w:rPr>
          <w:rFonts w:hint="default"/>
          <w:lang w:val="en-US"/>
        </w:rPr>
      </w:pPr>
      <w:r>
        <w:rPr>
          <w:rFonts w:hint="default"/>
          <w:lang w:val="en-US"/>
        </w:rPr>
        <w:t>Data for clustering</w:t>
      </w:r>
    </w:p>
    <w:p w14:paraId="055379E7">
      <w:pPr>
        <w:pBdr>
          <w:bottom w:val="single" w:color="166534" w:sz="4" w:space="0"/>
        </w:pBdr>
        <w:spacing w:before="100" w:after="100"/>
      </w:pPr>
    </w:p>
    <w:p w14:paraId="263402E8">
      <w:pPr>
        <w:spacing w:before="80" w:after="80"/>
      </w:pPr>
    </w:p>
    <w:p w14:paraId="2C8EF78F">
      <w:pPr>
        <w:spacing w:before="80" w:after="80"/>
        <w:jc w:val="left"/>
        <w:rPr>
          <w:rFonts w:ascii="Arial" w:hAnsi="Arial" w:eastAsia="Arial" w:cs="Arial"/>
          <w:b w:val="0"/>
          <w:bCs w:val="0"/>
          <w:i w:val="0"/>
          <w:iCs w:val="0"/>
          <w:color w:val="1A1A1A"/>
          <w:sz w:val="19"/>
          <w:szCs w:val="19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19"/>
          <w:szCs w:val="19"/>
        </w:rPr>
        <w:t xml:space="preserve">NaN values have been replaced with </w:t>
      </w:r>
      <w:r>
        <w:rPr>
          <w:rFonts w:ascii="Arial" w:hAnsi="Arial" w:eastAsia="Arial" w:cs="Arial"/>
          <w:b/>
          <w:bCs/>
          <w:i w:val="0"/>
          <w:iCs w:val="0"/>
          <w:color w:val="C0392B"/>
          <w:sz w:val="19"/>
          <w:szCs w:val="19"/>
        </w:rPr>
        <w:t>0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19"/>
          <w:szCs w:val="19"/>
        </w:rPr>
        <w:t xml:space="preserve"> (numeric) or </w:t>
      </w:r>
      <w:r>
        <w:rPr>
          <w:rFonts w:ascii="Arial" w:hAnsi="Arial" w:eastAsia="Arial" w:cs="Arial"/>
          <w:b/>
          <w:bCs/>
          <w:i w:val="0"/>
          <w:iCs w:val="0"/>
          <w:color w:val="C0392B"/>
          <w:sz w:val="19"/>
          <w:szCs w:val="19"/>
        </w:rPr>
        <w:t>"Unknown"</w:t>
      </w:r>
      <w:r>
        <w:rPr>
          <w:rFonts w:ascii="Arial" w:hAnsi="Arial" w:eastAsia="Arial" w:cs="Arial"/>
          <w:b w:val="0"/>
          <w:bCs w:val="0"/>
          <w:i w:val="0"/>
          <w:iCs w:val="0"/>
          <w:color w:val="1A1A1A"/>
          <w:sz w:val="19"/>
          <w:szCs w:val="19"/>
        </w:rPr>
        <w:t xml:space="preserve"> (string) for clustering compatibility. </w:t>
      </w:r>
    </w:p>
    <w:p w14:paraId="3A6CF408">
      <w:pPr>
        <w:spacing w:before="80" w:after="80"/>
        <w:jc w:val="left"/>
        <w:rPr>
          <w:rFonts w:hint="default" w:ascii="Arial" w:hAnsi="Arial" w:eastAsia="Arial" w:cs="Arial"/>
          <w:b w:val="0"/>
          <w:bCs w:val="0"/>
          <w:i w:val="0"/>
          <w:iCs w:val="0"/>
          <w:color w:val="1A1A1A"/>
          <w:sz w:val="19"/>
          <w:szCs w:val="19"/>
          <w:lang w:val="en-US"/>
        </w:rPr>
      </w:pPr>
      <w:r>
        <w:rPr>
          <w:rFonts w:ascii="Arial" w:hAnsi="Arial" w:eastAsia="Arial" w:cs="Arial"/>
          <w:b/>
          <w:bCs/>
          <w:i w:val="0"/>
          <w:iCs w:val="0"/>
          <w:color w:val="E67E22"/>
          <w:sz w:val="15"/>
          <w:szCs w:val="15"/>
        </w:rPr>
        <w:t>★</w:t>
      </w:r>
      <w:r>
        <w:rPr>
          <w:rFonts w:hint="default" w:ascii="Arial" w:hAnsi="Arial" w:eastAsia="Arial" w:cs="Arial"/>
          <w:b w:val="0"/>
          <w:bCs w:val="0"/>
          <w:i w:val="0"/>
          <w:iCs w:val="0"/>
          <w:color w:val="1A1A1A"/>
          <w:sz w:val="19"/>
          <w:szCs w:val="19"/>
          <w:lang w:val="en-US"/>
        </w:rPr>
        <w:t xml:space="preserve"> represents new features.</w:t>
      </w:r>
    </w:p>
    <w:p w14:paraId="5231C5D4">
      <w:pPr>
        <w:spacing w:before="100" w:after="8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1"/>
        <w:gridCol w:w="821"/>
        <w:gridCol w:w="1189"/>
        <w:gridCol w:w="4870"/>
      </w:tblGrid>
      <w:tr w14:paraId="2DF6C874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76CF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Column Name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7BB42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BF2B6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NaN → value (count)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F49FB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</w:tr>
      <w:tr w14:paraId="29837EB7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EFC58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vehicle_id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4368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B8600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D3BB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Unique row key: "Make_Model_VehicleClass_VehicleType_Transmission". Acts as index for clustering; not a model feature.</w:t>
            </w:r>
          </w:p>
        </w:tc>
      </w:tr>
      <w:tr w14:paraId="183C1451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14C47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Make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4C130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4DCD0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E021D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Manufacturer name. Identical to Dataset 1.</w:t>
            </w:r>
          </w:p>
        </w:tc>
      </w:tr>
      <w:tr w14:paraId="09CF62FB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A657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A1FE5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30EED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74755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Vehicle model name. Identical to Dataset 1.</w:t>
            </w:r>
          </w:p>
        </w:tc>
      </w:tr>
      <w:tr w14:paraId="501ABB10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3610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Vehicle_Class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F7B25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5A9A8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B16FB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Body/size class. Identical to Dataset 1.</w:t>
            </w:r>
          </w:p>
        </w:tc>
      </w:tr>
      <w:tr w14:paraId="604ABA2D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13A2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Vehicle_Type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023DA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6F85A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782B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Drivetrain category: Conventional/Hybrid | BEV | PHEV. Identical to Dataset 1.</w:t>
            </w:r>
          </w:p>
        </w:tc>
      </w:tr>
      <w:tr w14:paraId="22E0C0A1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7ACAF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Fuel_Type_Primary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E02B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E8775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35D22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Primary fuel code (X/Z/D/E/N/B). Identical to Dataset 1.</w:t>
            </w:r>
          </w:p>
        </w:tc>
      </w:tr>
      <w:tr w14:paraId="472DE3AD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C4546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Fuel_Type_Secondary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C5C84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AA921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"Unknown"
(7,476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39110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Secondary fuel (X or Z for PHEVs). NaN replaced with "Unknown" for all non-PHEV rows.</w:t>
            </w:r>
          </w:p>
        </w:tc>
      </w:tr>
      <w:tr w14:paraId="43230DF7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2056F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Transmission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AA4C2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0DB9B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6DD49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Full transmission code (e.g., AS6, M5, AV). Identical to Dataset 1.</w:t>
            </w:r>
          </w:p>
        </w:tc>
      </w:tr>
      <w:tr w14:paraId="77387848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DADB2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Transmission_Type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D1C39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7356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079D4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Transmission type extracted from Transmission field: A = automatic, AM = automated manual, AS = auto select-shift, AV = CVT, M = manual.</w:t>
            </w:r>
          </w:p>
        </w:tc>
      </w:tr>
      <w:tr w14:paraId="35ED5EFC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1DBE77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Num_Gears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92CF8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E94D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(320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974C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Number of gears extracted from Transmission code (1–10). 0 for single-speed BEVs (A1) and CVTs with no stated gear count.</w:t>
            </w:r>
          </w:p>
        </w:tc>
      </w:tr>
      <w:tr w14:paraId="139F3BD8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7DA2C1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Is_SUV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AE8FD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EBB4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0 = not SUV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F0B5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Binary flag: 1 if Vehicle_Class contains 'SUV', else 0. Engineered for body-type segmentation.</w:t>
            </w:r>
          </w:p>
        </w:tc>
      </w:tr>
      <w:tr w14:paraId="3BC184DF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4B1C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Is_Truck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C675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109F1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0 = not truck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21F8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Binary flag: 1 if Vehicle_Class contains 'Truck' or 'Pickup', else 0. Engineered for body-type segmentation.</w:t>
            </w:r>
          </w:p>
        </w:tc>
      </w:tr>
      <w:tr w14:paraId="3251EC82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EE261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Model_Year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AF983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957FF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(6,281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AA4D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Model year (2012–2026 for non-zero). 0 for all Conventional/Hybrid (NaN imputed).</w:t>
            </w:r>
          </w:p>
        </w:tc>
      </w:tr>
      <w:tr w14:paraId="1E2B9844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25A3DC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Engine_Size_L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F6F5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095B3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(1,195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9BAB1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ICE displacement in litres (0.6–8.4 for non-zero). 0 for BEVs (NaN imputed).</w:t>
            </w:r>
          </w:p>
        </w:tc>
      </w:tr>
      <w:tr w14:paraId="7276DD70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49508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Cylinders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4A67E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AAF5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(1,195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B50CB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Number of engine cylinders (2–16 for non-zero). 0 for BEVs (NaN imputed).</w:t>
            </w:r>
          </w:p>
        </w:tc>
      </w:tr>
      <w:tr w14:paraId="027AB31E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DAC0EB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Motor_kW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6D80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69735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(6,281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33834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Peak electric motor output in kW (35–930 for non-zero). 0 for Conventional/Hybrid (NaN imputed).</w:t>
            </w:r>
          </w:p>
        </w:tc>
      </w:tr>
      <w:tr w14:paraId="0BD17C76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28AFE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Fuel_Cons_City_L100km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D060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CAC27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(1,195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E7794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City fuel consumption in L/100 km (4.2–30.6 for non-zero). 0 for BEVs (NaN imputed).</w:t>
            </w:r>
          </w:p>
        </w:tc>
      </w:tr>
      <w:tr w14:paraId="12EA5F54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C0F5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Fuel_Cons_Hwy_L100km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D76B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99745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(1,195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97338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Highway fuel consumption in L/100 km (4.0–20.6 for non-zero). 0 for BEVs (NaN imputed).</w:t>
            </w:r>
          </w:p>
        </w:tc>
      </w:tr>
      <w:tr w14:paraId="331D4817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335D6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Fuel_Cons_Comb_L100km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CF1F1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17E09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(1,195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6C02A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Combined fuel consumption in L/100 km (4.1–26.1 for non-zero). 0 for BEVs (NaN imputed).</w:t>
            </w:r>
          </w:p>
        </w:tc>
      </w:tr>
      <w:tr w14:paraId="515E7163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0B4B00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Elec_Cons_Comb_kWh100km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4E6E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FB243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(6,281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564B7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Combined electricity consumption in kWh/100 km (1.8–47.3 for non-zero). 0 for Conventional/Hybrid (NaN imputed).</w:t>
            </w:r>
          </w:p>
        </w:tc>
      </w:tr>
      <w:tr w14:paraId="39E84E73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F4BFB9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Elec_Range_km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AF7A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12A0D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(6,281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1AC0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All-electric range in km (6–837 for non-zero). 0 for Conventional/Hybrid (NaN imputed).</w:t>
            </w:r>
          </w:p>
        </w:tc>
      </w:tr>
      <w:tr w14:paraId="4A22FBCC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E2CD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Total_Range_km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4CBC7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B7253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(6,281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3D9E2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Total driving range in km (92–1,035 for non-zero). 0 for Conventional/Hybrid (NaN imputed).</w:t>
            </w:r>
          </w:p>
        </w:tc>
      </w:tr>
      <w:tr w14:paraId="7FE0CA52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8B244D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Recharge_Time_h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3C65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67BD1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(6,281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DB716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Level-2 recharge time in hours (1.1–18.6 for non-zero). 0 for Conventional/Hybrid (NaN imputed).</w:t>
            </w:r>
          </w:p>
        </w:tc>
      </w:tr>
      <w:tr w14:paraId="5B6EB455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0DA8A1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CO2_Emissions_g_km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5E74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504F0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None
(BEV = true 0)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58F0D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TARGET VARIABLE. Tailpipe CO₂ in g/km (14–522 for non-zero). BEVs = 0 is a true measurement, not imputed.</w:t>
            </w:r>
          </w:p>
        </w:tc>
      </w:tr>
      <w:tr w14:paraId="4F73E511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D6D89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Fuel_Efficiency_Index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8DD20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9EBBD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(1,195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35E6E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Derived: 100 ÷ Fuel_Cons_Comb_L100km. Higher = more fuel-efficient (3.83–24.39 for non-zero). 0 for BEVs.</w:t>
            </w:r>
          </w:p>
        </w:tc>
      </w:tr>
      <w:tr w14:paraId="5CD9E10A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7C292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CO2_per_L_engine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53E1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E5B2E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(1,195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0D4C2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Derived: CO2_Emissions_g_km ÷ Engine_Size_L. CO₂ intensity per litre of displacement (15.5–197.0). 0 for BEVs.</w:t>
            </w:r>
          </w:p>
        </w:tc>
      </w:tr>
      <w:tr w14:paraId="2A830480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6A0BC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City_Hwy_Fuel_Ratio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08964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5BC92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(1,195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FD193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Derived: Fuel_Cons_City ÷ Fuel_Cons_Hwy. Values &gt; 1 = higher city penalty (0.86–1.82). 0 for BEVs.</w:t>
            </w:r>
          </w:p>
        </w:tc>
      </w:tr>
      <w:tr w14:paraId="5CBC4F72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BD0403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Electric_Efficiency_Index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91ECA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0524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(6,281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DCE1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Derived: 100 ÷ Elec_Cons_Comb_kWh100km. Higher = more energy-efficient (2.11–55.56 for non-zero). 0 for Conventional/Hybrid.</w:t>
            </w:r>
          </w:p>
        </w:tc>
      </w:tr>
      <w:tr w14:paraId="441F30A9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9FC41F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Range_per_ChargeHour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3AB68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09B35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(6,281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50294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Derived: Elec_Range_km ÷ Recharge_Time_h. km of electric range per hour of charging (3.0–86.44). 0 for Conventional/Hybrid.</w:t>
            </w:r>
          </w:p>
        </w:tc>
      </w:tr>
      <w:tr w14:paraId="2FBFBAFB"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F7E3C5">
            <w:r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Elec_Range_Share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E67E22"/>
                <w:sz w:val="15"/>
                <w:szCs w:val="15"/>
              </w:rPr>
              <w:t xml:space="preserve">  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9D508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2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F15B2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NaN → 0
(6,281 rows)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597D8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Derived: Elec_Range_km ÷ Total_Range_km. Proportion of total range from electric power (0.01–1.0; BEV = 1.0). 0 for Conventional/Hybrid.</w:t>
            </w:r>
          </w:p>
        </w:tc>
      </w:tr>
    </w:tbl>
    <w:p w14:paraId="5C88F86A"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EE78FB"/>
    <w:multiLevelType w:val="singleLevel"/>
    <w:tmpl w:val="3DEE78F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F70C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19"/>
      <w:szCs w:val="19"/>
    </w:rPr>
  </w:style>
  <w:style w:type="paragraph" w:styleId="2">
    <w:name w:val="heading 1"/>
    <w:next w:val="1"/>
    <w:qFormat/>
    <w:uiPriority w:val="0"/>
    <w:pPr>
      <w:spacing w:before="360" w:after="14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19"/>
      <w:szCs w:val="19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47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木棉</cp:lastModifiedBy>
  <dcterms:modified xsi:type="dcterms:W3CDTF">2026-03-15T03:18:07Z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530DD4226F627010EF24B669208C5C00_42</vt:lpwstr>
  </property>
</Properties>
</file>