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FC7EEF" w:rsidRDefault="00FC7EEF" w:rsidP="007E3085">
      <w:pPr>
        <w:spacing w:line="480" w:lineRule="auto"/>
        <w:jc w:val="center"/>
        <w:rPr>
          <w:rFonts w:ascii="Times New Roman" w:hAnsi="Times New Roman" w:cs="Times New Roman"/>
          <w:b/>
          <w:noProof/>
          <w:sz w:val="32"/>
          <w:szCs w:val="32"/>
        </w:rPr>
      </w:pPr>
      <w:r w:rsidRPr="00FC7EEF">
        <w:rPr>
          <w:rFonts w:ascii="Times New Roman" w:hAnsi="Times New Roman" w:cs="Times New Roman"/>
          <w:b/>
          <w:noProof/>
          <w:sz w:val="32"/>
          <w:szCs w:val="32"/>
        </w:rPr>
        <w:t>Credit Risk Modeling of Financial Derivatives</w:t>
      </w:r>
    </w:p>
    <w:p w:rsidR="007E3085" w:rsidRDefault="007E3085" w:rsidP="007E3085">
      <w:pPr>
        <w:tabs>
          <w:tab w:val="center" w:pos="4800"/>
          <w:tab w:val="right" w:pos="9500"/>
        </w:tabs>
        <w:spacing w:line="480" w:lineRule="auto"/>
        <w:ind w:firstLine="720"/>
        <w:jc w:val="center"/>
        <w:rPr>
          <w:rFonts w:ascii="Times New Roman" w:hAnsi="Times New Roman" w:cs="Times New Roman"/>
          <w:b/>
          <w:noProof/>
        </w:rPr>
      </w:pPr>
      <w:r w:rsidRPr="007E3085">
        <w:rPr>
          <w:rFonts w:ascii="Times New Roman" w:hAnsi="Times New Roman" w:cs="Times New Roman"/>
          <w:b/>
          <w:noProof/>
        </w:rPr>
        <w:t xml:space="preserve">KŘIVÁNKOVÁ Lenka </w:t>
      </w:r>
      <w:r>
        <w:rPr>
          <w:rFonts w:ascii="Times New Roman" w:hAnsi="Times New Roman" w:cs="Times New Roman"/>
          <w:b/>
          <w:noProof/>
        </w:rPr>
        <w:t>and</w:t>
      </w:r>
      <w:r w:rsidR="004B687A" w:rsidRPr="007E3085">
        <w:rPr>
          <w:rFonts w:ascii="Times New Roman" w:hAnsi="Times New Roman" w:cs="Times New Roman"/>
          <w:b/>
          <w:noProof/>
        </w:rPr>
        <w:t xml:space="preserve"> </w:t>
      </w:r>
      <w:r w:rsidRPr="007E3085">
        <w:rPr>
          <w:rFonts w:ascii="Times New Roman" w:hAnsi="Times New Roman" w:cs="Times New Roman"/>
          <w:b/>
          <w:noProof/>
        </w:rPr>
        <w:t>ZLATOŠOVÁ Silvie</w:t>
      </w:r>
    </w:p>
    <w:p w:rsidR="007E3085" w:rsidRPr="007E3085" w:rsidRDefault="007E3085" w:rsidP="007E3085">
      <w:pPr>
        <w:pStyle w:val="FootnoteText"/>
        <w:spacing w:line="480" w:lineRule="auto"/>
        <w:jc w:val="both"/>
        <w:rPr>
          <w:rFonts w:ascii="Times New Roman" w:hAnsi="Times New Roman" w:cs="Times New Roman"/>
          <w:sz w:val="24"/>
          <w:szCs w:val="24"/>
          <w:lang w:val="en-GB"/>
        </w:rPr>
      </w:pPr>
      <w:proofErr w:type="spellStart"/>
      <w:r w:rsidRPr="00B8127C">
        <w:rPr>
          <w:rFonts w:ascii="Times New Roman" w:hAnsi="Times New Roman" w:cs="Times New Roman"/>
          <w:sz w:val="24"/>
          <w:szCs w:val="24"/>
          <w:lang w:val="en-GB"/>
        </w:rPr>
        <w:t>Lenka</w:t>
      </w:r>
      <w:proofErr w:type="spellEnd"/>
      <w:r w:rsidRPr="00B8127C">
        <w:rPr>
          <w:rFonts w:ascii="Times New Roman" w:hAnsi="Times New Roman" w:cs="Times New Roman"/>
          <w:sz w:val="24"/>
          <w:szCs w:val="24"/>
          <w:lang w:val="en-GB"/>
        </w:rPr>
        <w:t xml:space="preserve"> </w:t>
      </w:r>
      <w:proofErr w:type="spellStart"/>
      <w:r w:rsidRPr="00B8127C">
        <w:rPr>
          <w:rFonts w:ascii="Times New Roman" w:hAnsi="Times New Roman" w:cs="Times New Roman"/>
          <w:sz w:val="24"/>
          <w:szCs w:val="24"/>
          <w:lang w:val="en-GB"/>
        </w:rPr>
        <w:t>Křivánková</w:t>
      </w:r>
      <w:proofErr w:type="spellEnd"/>
      <w:r w:rsidRPr="00B8127C">
        <w:rPr>
          <w:rFonts w:ascii="Times New Roman" w:hAnsi="Times New Roman" w:cs="Times New Roman"/>
          <w:sz w:val="24"/>
          <w:szCs w:val="24"/>
          <w:lang w:val="en-GB"/>
        </w:rPr>
        <w:t>,</w:t>
      </w:r>
      <w:r w:rsidR="000A7396">
        <w:rPr>
          <w:rFonts w:ascii="Times New Roman" w:hAnsi="Times New Roman" w:cs="Times New Roman"/>
          <w:sz w:val="24"/>
          <w:szCs w:val="24"/>
          <w:lang w:val="en-GB"/>
        </w:rPr>
        <w:t xml:space="preserve"> </w:t>
      </w:r>
      <w:r w:rsidR="000A7396" w:rsidRPr="000A7396">
        <w:rPr>
          <w:rFonts w:ascii="Times New Roman" w:hAnsi="Times New Roman" w:cs="Times New Roman"/>
          <w:sz w:val="24"/>
          <w:szCs w:val="24"/>
          <w:lang w:val="en-GB"/>
        </w:rPr>
        <w:t>Department of Mathematics and Statistics</w:t>
      </w:r>
      <w:r w:rsidR="000A7396">
        <w:rPr>
          <w:rFonts w:ascii="Times New Roman" w:hAnsi="Times New Roman" w:cs="Times New Roman"/>
          <w:sz w:val="24"/>
          <w:szCs w:val="24"/>
          <w:lang w:val="en-GB"/>
        </w:rPr>
        <w:t xml:space="preserve">, Faculty of Science, </w:t>
      </w:r>
      <w:r w:rsidR="000A7396" w:rsidRPr="000A7396">
        <w:rPr>
          <w:rFonts w:ascii="Times New Roman" w:hAnsi="Times New Roman" w:cs="Times New Roman"/>
          <w:sz w:val="24"/>
          <w:szCs w:val="24"/>
          <w:lang w:val="en-GB"/>
        </w:rPr>
        <w:t>Masaryk University</w:t>
      </w:r>
      <w:r w:rsidR="000A7396">
        <w:rPr>
          <w:rFonts w:ascii="Times New Roman" w:hAnsi="Times New Roman" w:cs="Times New Roman"/>
          <w:sz w:val="24"/>
          <w:szCs w:val="24"/>
          <w:lang w:val="en-GB"/>
        </w:rPr>
        <w:t>,</w:t>
      </w:r>
      <w:r w:rsidR="000A7396" w:rsidRPr="000A7396">
        <w:rPr>
          <w:rFonts w:ascii="Times New Roman" w:hAnsi="Times New Roman" w:cs="Times New Roman"/>
          <w:sz w:val="24"/>
          <w:szCs w:val="24"/>
          <w:lang w:val="en-GB"/>
        </w:rPr>
        <w:t xml:space="preserve"> </w:t>
      </w:r>
      <w:proofErr w:type="spellStart"/>
      <w:proofErr w:type="gramStart"/>
      <w:r w:rsidR="000A7396" w:rsidRPr="000A7396">
        <w:rPr>
          <w:rFonts w:ascii="Times New Roman" w:hAnsi="Times New Roman" w:cs="Times New Roman"/>
          <w:sz w:val="24"/>
          <w:szCs w:val="24"/>
          <w:lang w:val="en-GB"/>
        </w:rPr>
        <w:t>Žerotínovo</w:t>
      </w:r>
      <w:proofErr w:type="spellEnd"/>
      <w:proofErr w:type="gramEnd"/>
      <w:r w:rsidR="000A7396" w:rsidRPr="000A7396">
        <w:rPr>
          <w:rFonts w:ascii="Times New Roman" w:hAnsi="Times New Roman" w:cs="Times New Roman"/>
          <w:sz w:val="24"/>
          <w:szCs w:val="24"/>
          <w:lang w:val="en-GB"/>
        </w:rPr>
        <w:t xml:space="preserve"> </w:t>
      </w:r>
      <w:proofErr w:type="spellStart"/>
      <w:r w:rsidR="000A7396" w:rsidRPr="000A7396">
        <w:rPr>
          <w:rFonts w:ascii="Times New Roman" w:hAnsi="Times New Roman" w:cs="Times New Roman"/>
          <w:sz w:val="24"/>
          <w:szCs w:val="24"/>
          <w:lang w:val="en-GB"/>
        </w:rPr>
        <w:t>nám</w:t>
      </w:r>
      <w:r w:rsidR="000A7396">
        <w:rPr>
          <w:rFonts w:ascii="Times New Roman" w:hAnsi="Times New Roman" w:cs="Times New Roman"/>
          <w:sz w:val="24"/>
          <w:szCs w:val="24"/>
          <w:lang w:val="en-GB"/>
        </w:rPr>
        <w:t>ěstí</w:t>
      </w:r>
      <w:proofErr w:type="spellEnd"/>
      <w:r w:rsidR="000A7396" w:rsidRPr="000A7396">
        <w:rPr>
          <w:rFonts w:ascii="Times New Roman" w:hAnsi="Times New Roman" w:cs="Times New Roman"/>
          <w:sz w:val="24"/>
          <w:szCs w:val="24"/>
          <w:lang w:val="en-GB"/>
        </w:rPr>
        <w:t xml:space="preserve"> 617/9, 601 77 Brno,</w:t>
      </w:r>
      <w:r w:rsidR="000A7396">
        <w:rPr>
          <w:rFonts w:ascii="Times New Roman" w:hAnsi="Times New Roman" w:cs="Times New Roman"/>
          <w:sz w:val="24"/>
          <w:szCs w:val="24"/>
          <w:lang w:val="en-GB"/>
        </w:rPr>
        <w:t xml:space="preserve"> e-mail: </w:t>
      </w:r>
      <w:r w:rsidRPr="00B8127C">
        <w:rPr>
          <w:rFonts w:ascii="Times New Roman" w:hAnsi="Times New Roman" w:cs="Times New Roman"/>
          <w:sz w:val="24"/>
          <w:szCs w:val="24"/>
          <w:lang w:val="en-GB"/>
        </w:rPr>
        <w:t>142474@mail.muni.cz</w:t>
      </w:r>
    </w:p>
    <w:p w:rsidR="007E3085" w:rsidRPr="007E3085" w:rsidRDefault="007E3085" w:rsidP="000A7396">
      <w:pPr>
        <w:tabs>
          <w:tab w:val="center" w:pos="4800"/>
          <w:tab w:val="right" w:pos="9500"/>
        </w:tabs>
        <w:spacing w:line="480" w:lineRule="auto"/>
        <w:jc w:val="both"/>
        <w:rPr>
          <w:rFonts w:ascii="Times New Roman" w:hAnsi="Times New Roman" w:cs="Times New Roman"/>
          <w:b/>
          <w:noProof/>
        </w:rPr>
      </w:pPr>
      <w:proofErr w:type="spellStart"/>
      <w:r>
        <w:rPr>
          <w:rFonts w:ascii="Times New Roman" w:hAnsi="Times New Roman" w:cs="Times New Roman"/>
          <w:lang w:val="en-GB"/>
        </w:rPr>
        <w:t>Silvie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Zlatošová</w:t>
      </w:r>
      <w:proofErr w:type="spellEnd"/>
      <w:r w:rsidRPr="00B8127C">
        <w:rPr>
          <w:rFonts w:ascii="Times New Roman" w:hAnsi="Times New Roman" w:cs="Times New Roman"/>
          <w:lang w:val="en-GB"/>
        </w:rPr>
        <w:t>,</w:t>
      </w:r>
      <w:r w:rsidR="000A7396">
        <w:rPr>
          <w:rFonts w:ascii="Times New Roman" w:hAnsi="Times New Roman" w:cs="Times New Roman"/>
          <w:lang w:val="en-GB"/>
        </w:rPr>
        <w:t xml:space="preserve"> </w:t>
      </w:r>
      <w:r w:rsidR="000A7396" w:rsidRPr="000A7396">
        <w:rPr>
          <w:rFonts w:ascii="Times New Roman" w:hAnsi="Times New Roman" w:cs="Times New Roman"/>
          <w:lang w:val="en-GB"/>
        </w:rPr>
        <w:t>Department of</w:t>
      </w:r>
      <w:r w:rsidR="000A7396">
        <w:rPr>
          <w:rFonts w:ascii="Times New Roman" w:hAnsi="Times New Roman" w:cs="Times New Roman"/>
          <w:lang w:val="en-GB"/>
        </w:rPr>
        <w:t xml:space="preserve"> Finance, </w:t>
      </w:r>
      <w:r w:rsidR="000A7396" w:rsidRPr="000A7396">
        <w:rPr>
          <w:rFonts w:ascii="Times New Roman" w:hAnsi="Times New Roman" w:cs="Times New Roman"/>
          <w:lang w:val="en-GB"/>
        </w:rPr>
        <w:t xml:space="preserve">Faculty of Economics and Administration, </w:t>
      </w:r>
      <w:r w:rsidRPr="00B8127C">
        <w:rPr>
          <w:rFonts w:ascii="Times New Roman" w:hAnsi="Times New Roman" w:cs="Times New Roman"/>
          <w:lang w:val="en-GB"/>
        </w:rPr>
        <w:t xml:space="preserve">Masaryk University, </w:t>
      </w:r>
      <w:proofErr w:type="spellStart"/>
      <w:r w:rsidR="000A7396" w:rsidRPr="000A7396">
        <w:rPr>
          <w:rFonts w:ascii="Times New Roman" w:hAnsi="Times New Roman" w:cs="Times New Roman"/>
          <w:lang w:val="en-GB"/>
        </w:rPr>
        <w:t>Žerotínovo</w:t>
      </w:r>
      <w:proofErr w:type="spellEnd"/>
      <w:r w:rsidR="000A7396" w:rsidRPr="000A7396">
        <w:rPr>
          <w:rFonts w:ascii="Times New Roman" w:hAnsi="Times New Roman" w:cs="Times New Roman"/>
          <w:lang w:val="en-GB"/>
        </w:rPr>
        <w:t xml:space="preserve"> </w:t>
      </w:r>
      <w:proofErr w:type="spellStart"/>
      <w:r w:rsidR="000A7396" w:rsidRPr="000A7396">
        <w:rPr>
          <w:rFonts w:ascii="Times New Roman" w:hAnsi="Times New Roman" w:cs="Times New Roman"/>
          <w:lang w:val="en-GB"/>
        </w:rPr>
        <w:t>nám</w:t>
      </w:r>
      <w:r w:rsidR="000A7396">
        <w:rPr>
          <w:rFonts w:ascii="Times New Roman" w:hAnsi="Times New Roman" w:cs="Times New Roman"/>
          <w:lang w:val="en-GB"/>
        </w:rPr>
        <w:t>ěstí</w:t>
      </w:r>
      <w:proofErr w:type="spellEnd"/>
      <w:r w:rsidR="000A7396" w:rsidRPr="000A7396">
        <w:rPr>
          <w:rFonts w:ascii="Times New Roman" w:hAnsi="Times New Roman" w:cs="Times New Roman"/>
          <w:lang w:val="en-GB"/>
        </w:rPr>
        <w:t xml:space="preserve"> 617/9, 601 77 Brno,</w:t>
      </w:r>
      <w:r w:rsidRPr="00B8127C">
        <w:rPr>
          <w:rFonts w:ascii="Times New Roman" w:hAnsi="Times New Roman" w:cs="Times New Roman"/>
          <w:lang w:val="en-GB"/>
        </w:rPr>
        <w:t xml:space="preserve"> </w:t>
      </w:r>
      <w:r w:rsidR="000A7396" w:rsidRPr="000A7396">
        <w:rPr>
          <w:rFonts w:ascii="Times New Roman" w:hAnsi="Times New Roman" w:cs="Times New Roman"/>
          <w:lang w:val="en-GB"/>
        </w:rPr>
        <w:t xml:space="preserve">e-mail: </w:t>
      </w:r>
      <w:r w:rsidRPr="00B8127C">
        <w:rPr>
          <w:rFonts w:ascii="Times New Roman" w:hAnsi="Times New Roman" w:cs="Times New Roman"/>
          <w:lang w:val="en-GB"/>
        </w:rPr>
        <w:t>175424@mail.muni.cz</w:t>
      </w:r>
    </w:p>
    <w:p w:rsidR="00FC7EEF" w:rsidRPr="00FC7EEF" w:rsidRDefault="00FC7EEF" w:rsidP="007E3085">
      <w:pPr>
        <w:tabs>
          <w:tab w:val="center" w:pos="4800"/>
          <w:tab w:val="right" w:pos="9500"/>
        </w:tabs>
        <w:spacing w:line="480" w:lineRule="auto"/>
        <w:jc w:val="both"/>
        <w:rPr>
          <w:rFonts w:ascii="Times New Roman" w:hAnsi="Times New Roman" w:cs="Times New Roman"/>
          <w:noProof/>
        </w:rPr>
      </w:pPr>
    </w:p>
    <w:p w:rsidR="00FC7EEF" w:rsidRPr="00FC7EEF" w:rsidRDefault="007E3085" w:rsidP="007E3085">
      <w:pPr>
        <w:tabs>
          <w:tab w:val="center" w:pos="4800"/>
          <w:tab w:val="right" w:pos="9500"/>
        </w:tabs>
        <w:spacing w:line="480" w:lineRule="auto"/>
        <w:ind w:firstLine="720"/>
        <w:jc w:val="both"/>
        <w:rPr>
          <w:rFonts w:ascii="Times New Roman" w:hAnsi="Times New Roman" w:cs="Times New Roman"/>
          <w:noProof/>
        </w:rPr>
      </w:pPr>
      <w:r w:rsidRPr="00B8127C">
        <w:rPr>
          <w:rFonts w:ascii="Times New Roman" w:hAnsi="Times New Roman" w:cs="Times New Roman"/>
          <w:b/>
          <w:noProof/>
          <w:lang w:val="en-GB"/>
        </w:rPr>
        <w:t xml:space="preserve">Abstract:  </w:t>
      </w:r>
      <w:r w:rsidR="00FC7EEF" w:rsidRPr="00FC7EEF">
        <w:rPr>
          <w:rFonts w:ascii="Times New Roman" w:hAnsi="Times New Roman" w:cs="Times New Roman"/>
          <w:noProof/>
        </w:rPr>
        <w:t>According to the Basel Committee's estimate three fourths of the counterparty credit risk losses during the financial crisis originate from Credit valuation adjustment's losses and not from actual defaults. Therefore Third Basel Accord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 the probability of default for each counterparty is constructed. Safe leval of CVA is reached in spite of calculated CVA achieves a lower level than CVA previously used by bank. This allows a reduction of capital requirements for banks. All claculations are computed in Matlab enviroment which contains packages of financial mathematics and stats with the function for the Hull-White model and the function for the estimation of probability of default which are necessary for the computation of the CVA.</w:t>
      </w:r>
    </w:p>
    <w:p w:rsidR="00FC7EEF" w:rsidRPr="00FC7EEF" w:rsidRDefault="00FC7EEF" w:rsidP="007E3085">
      <w:pPr>
        <w:tabs>
          <w:tab w:val="center" w:pos="4800"/>
          <w:tab w:val="right" w:pos="9500"/>
        </w:tabs>
        <w:spacing w:line="480" w:lineRule="auto"/>
        <w:jc w:val="both"/>
        <w:rPr>
          <w:rFonts w:ascii="Times New Roman" w:hAnsi="Times New Roman" w:cs="Times New Roman"/>
          <w:noProof/>
        </w:rPr>
      </w:pPr>
    </w:p>
    <w:p w:rsidR="003F6451" w:rsidRPr="00FC7EEF" w:rsidRDefault="007E3085" w:rsidP="007E3085">
      <w:pPr>
        <w:tabs>
          <w:tab w:val="center" w:pos="4800"/>
          <w:tab w:val="right" w:pos="9500"/>
        </w:tabs>
        <w:spacing w:line="480" w:lineRule="auto"/>
        <w:ind w:firstLine="720"/>
        <w:jc w:val="both"/>
        <w:rPr>
          <w:rFonts w:ascii="Times New Roman" w:hAnsi="Times New Roman" w:cs="Times New Roman"/>
          <w:noProof/>
        </w:rPr>
      </w:pPr>
      <w:r w:rsidRPr="00B8127C">
        <w:rPr>
          <w:rFonts w:ascii="Times New Roman" w:hAnsi="Times New Roman" w:cs="Times New Roman"/>
          <w:b/>
          <w:bCs/>
          <w:noProof/>
          <w:lang w:val="en-GB"/>
        </w:rPr>
        <w:t>Keywords:</w:t>
      </w:r>
      <w:r w:rsidRPr="00B8127C">
        <w:rPr>
          <w:rFonts w:ascii="Times New Roman" w:hAnsi="Times New Roman" w:cs="Times New Roman"/>
          <w:noProof/>
          <w:lang w:val="en-GB"/>
        </w:rPr>
        <w:t xml:space="preserve"> </w:t>
      </w:r>
      <w:r w:rsidR="00FC7EEF" w:rsidRPr="00FC7EEF">
        <w:rPr>
          <w:rFonts w:ascii="Times New Roman" w:hAnsi="Times New Roman" w:cs="Times New Roman"/>
          <w:noProof/>
        </w:rPr>
        <w:t xml:space="preserve">credit valuation adjustment, probability of default, interest rate swaps, yield </w:t>
      </w:r>
      <w:r w:rsidR="00FC7EEF" w:rsidRPr="00FC7EEF">
        <w:rPr>
          <w:rFonts w:ascii="Times New Roman" w:hAnsi="Times New Roman" w:cs="Times New Roman"/>
          <w:noProof/>
        </w:rPr>
        <w:lastRenderedPageBreak/>
        <w:t>curve, Hull-White model, Monte Carlo simulations, credit exposure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bookmarkStart w:id="0" w:name="GrindEQpgref5821e9901"/>
      <w:bookmarkEnd w:id="0"/>
      <w:r w:rsidRPr="000A7396">
        <w:rPr>
          <w:rFonts w:ascii="Times New Roman" w:hAnsi="Times New Roman" w:cs="Times New Roman"/>
          <w:b/>
          <w:bCs/>
          <w:noProof/>
          <w:sz w:val="32"/>
          <w:szCs w:val="32"/>
        </w:rPr>
        <w:t>Introduction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current situation in the banking market pressures banks to look for new opportunities to generate income. Common methods of making a profit are not as profitable as they were in the past.</w:t>
      </w:r>
      <w:r w:rsidR="000A7396">
        <w:rPr>
          <w:rFonts w:ascii="Times New Roman" w:hAnsi="Times New Roman" w:cs="Times New Roman"/>
          <w:noProof/>
        </w:rPr>
        <w:t xml:space="preserve"> </w:t>
      </w:r>
      <w:r w:rsidRPr="00FC7EEF">
        <w:rPr>
          <w:rFonts w:ascii="Times New Roman" w:hAnsi="Times New Roman" w:cs="Times New Roman"/>
          <w:noProof/>
        </w:rPr>
        <w:t>We can observe not only a negative inter bank offered rates, but also competitive fight for clients, which causes strong pressure to decrease bank fees and almost unprofitable lending. The banks, therefore, search for new possibilities how to decrease costs such as loan loss provission and credit valuation adjustment.One of the possibilities could be development of a new approach to CVA modeling respecting regulatory standards and simultaneously achieving maximal profit.</w:t>
      </w:r>
    </w:p>
    <w:p w:rsidR="003F6451"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Banks often use proprietary parametric models, which are, although, very conservatively set due to risk vigilance. We suppose that a more sophisticated model would bring lower CVA as well as lower capital requirement for a bank.</w:t>
      </w:r>
    </w:p>
    <w:p w:rsidR="00C47B72" w:rsidRDefault="00C47B72" w:rsidP="007E3085">
      <w:pPr>
        <w:tabs>
          <w:tab w:val="center" w:pos="4800"/>
          <w:tab w:val="right" w:pos="9500"/>
        </w:tabs>
        <w:spacing w:line="480" w:lineRule="auto"/>
        <w:ind w:firstLine="720"/>
        <w:jc w:val="both"/>
        <w:rPr>
          <w:rFonts w:ascii="Times New Roman" w:hAnsi="Times New Roman" w:cs="Times New Roman"/>
          <w:noProof/>
        </w:rPr>
      </w:pPr>
    </w:p>
    <w:p w:rsidR="00200485" w:rsidRDefault="00C47B72" w:rsidP="00604529">
      <w:pPr>
        <w:tabs>
          <w:tab w:val="center" w:pos="4800"/>
          <w:tab w:val="right" w:pos="9500"/>
        </w:tabs>
        <w:spacing w:line="480" w:lineRule="auto"/>
        <w:ind w:firstLine="720"/>
        <w:jc w:val="both"/>
        <w:rPr>
          <w:rFonts w:ascii="Times New Roman" w:hAnsi="Times New Roman" w:cs="Times New Roman"/>
          <w:noProof/>
        </w:rPr>
      </w:pPr>
      <w:r w:rsidRPr="00C47B72">
        <w:rPr>
          <w:rFonts w:ascii="Times New Roman" w:hAnsi="Times New Roman" w:cs="Times New Roman"/>
          <w:noProof/>
        </w:rPr>
        <w:t>A good introduction to pricing counter</w:t>
      </w:r>
      <w:r w:rsidR="00DE0BD3">
        <w:rPr>
          <w:rFonts w:ascii="Times New Roman" w:hAnsi="Times New Roman" w:cs="Times New Roman"/>
          <w:noProof/>
        </w:rPr>
        <w:t xml:space="preserve"> </w:t>
      </w:r>
      <w:r w:rsidRPr="00C47B72">
        <w:rPr>
          <w:rFonts w:ascii="Times New Roman" w:hAnsi="Times New Roman" w:cs="Times New Roman"/>
          <w:noProof/>
        </w:rPr>
        <w:t>party</w:t>
      </w:r>
      <w:r w:rsidR="00DE0BD3">
        <w:rPr>
          <w:rFonts w:ascii="Times New Roman" w:hAnsi="Times New Roman" w:cs="Times New Roman"/>
          <w:noProof/>
        </w:rPr>
        <w:t xml:space="preserve"> credit</w:t>
      </w:r>
      <w:r w:rsidRPr="00C47B72">
        <w:rPr>
          <w:rFonts w:ascii="Times New Roman" w:hAnsi="Times New Roman" w:cs="Times New Roman"/>
          <w:noProof/>
        </w:rPr>
        <w:t xml:space="preserve"> risk can be found in a paper by Michael Pykhtin and Steven Zhu</w:t>
      </w:r>
      <w:r w:rsidR="00693D92">
        <w:rPr>
          <w:rFonts w:ascii="Times New Roman" w:hAnsi="Times New Roman" w:cs="Times New Roman"/>
          <w:noProof/>
        </w:rPr>
        <w:t xml:space="preserve"> (2007)</w:t>
      </w:r>
      <w:r w:rsidRPr="00C47B72">
        <w:rPr>
          <w:rFonts w:ascii="Times New Roman" w:hAnsi="Times New Roman" w:cs="Times New Roman"/>
          <w:noProof/>
        </w:rPr>
        <w:t>.</w:t>
      </w:r>
      <w:r>
        <w:rPr>
          <w:rFonts w:ascii="Times New Roman" w:hAnsi="Times New Roman" w:cs="Times New Roman"/>
          <w:noProof/>
        </w:rPr>
        <w:t xml:space="preserve"> </w:t>
      </w:r>
      <w:r w:rsidRPr="00C47B72">
        <w:rPr>
          <w:rFonts w:ascii="Times New Roman" w:hAnsi="Times New Roman" w:cs="Times New Roman"/>
          <w:noProof/>
        </w:rPr>
        <w:t>This paper discuss</w:t>
      </w:r>
      <w:r w:rsidR="001C7861">
        <w:rPr>
          <w:rFonts w:ascii="Times New Roman" w:hAnsi="Times New Roman" w:cs="Times New Roman"/>
          <w:noProof/>
        </w:rPr>
        <w:t>es</w:t>
      </w:r>
      <w:r w:rsidRPr="00C47B72">
        <w:rPr>
          <w:rFonts w:ascii="Times New Roman" w:hAnsi="Times New Roman" w:cs="Times New Roman"/>
          <w:noProof/>
        </w:rPr>
        <w:t xml:space="preserve"> approaches to CVA calculation.</w:t>
      </w:r>
      <w:r w:rsidR="00460331">
        <w:rPr>
          <w:rFonts w:ascii="Times New Roman" w:hAnsi="Times New Roman" w:cs="Times New Roman"/>
          <w:noProof/>
        </w:rPr>
        <w:t xml:space="preserve"> </w:t>
      </w:r>
      <w:r w:rsidR="00DE0BD3" w:rsidRPr="00DE0BD3">
        <w:rPr>
          <w:rFonts w:ascii="Times New Roman" w:hAnsi="Times New Roman" w:cs="Times New Roman"/>
          <w:noProof/>
        </w:rPr>
        <w:t>A</w:t>
      </w:r>
      <w:r w:rsidR="00DE0BD3">
        <w:rPr>
          <w:rFonts w:ascii="Times New Roman" w:hAnsi="Times New Roman" w:cs="Times New Roman"/>
          <w:noProof/>
        </w:rPr>
        <w:t xml:space="preserve"> </w:t>
      </w:r>
      <w:r w:rsidR="00DE0BD3" w:rsidRPr="00DE0BD3">
        <w:rPr>
          <w:rFonts w:ascii="Times New Roman" w:hAnsi="Times New Roman" w:cs="Times New Roman"/>
          <w:noProof/>
        </w:rPr>
        <w:t>detailed review of counterparty credit risk modeling is</w:t>
      </w:r>
      <w:r w:rsidR="00DE0BD3">
        <w:rPr>
          <w:rFonts w:ascii="Times New Roman" w:hAnsi="Times New Roman" w:cs="Times New Roman"/>
          <w:noProof/>
        </w:rPr>
        <w:t xml:space="preserve"> </w:t>
      </w:r>
      <w:r w:rsidR="00DE0BD3" w:rsidRPr="00DE0BD3">
        <w:rPr>
          <w:rFonts w:ascii="Times New Roman" w:hAnsi="Times New Roman" w:cs="Times New Roman"/>
          <w:noProof/>
        </w:rPr>
        <w:t>given in Jon Gregory (2010).</w:t>
      </w:r>
      <w:r w:rsidR="00B67D77">
        <w:rPr>
          <w:rFonts w:ascii="Times New Roman" w:hAnsi="Times New Roman" w:cs="Times New Roman"/>
          <w:noProof/>
        </w:rPr>
        <w:t xml:space="preserve"> </w:t>
      </w:r>
      <w:r w:rsidR="004F1A99" w:rsidRPr="004F1A99">
        <w:rPr>
          <w:rFonts w:ascii="Times New Roman" w:hAnsi="Times New Roman" w:cs="Times New Roman"/>
          <w:noProof/>
        </w:rPr>
        <w:t>This book</w:t>
      </w:r>
      <w:r w:rsidR="004F1A99">
        <w:rPr>
          <w:rFonts w:ascii="Times New Roman" w:hAnsi="Times New Roman" w:cs="Times New Roman"/>
          <w:noProof/>
        </w:rPr>
        <w:t xml:space="preserve"> interestingly </w:t>
      </w:r>
      <w:r w:rsidR="004F1A99" w:rsidRPr="004F1A99">
        <w:rPr>
          <w:rFonts w:ascii="Times New Roman" w:hAnsi="Times New Roman" w:cs="Times New Roman"/>
          <w:noProof/>
        </w:rPr>
        <w:t xml:space="preserve">explains the rise of counterparty risk during the financial crisis. </w:t>
      </w:r>
      <w:r w:rsidR="00604529" w:rsidRPr="00604529">
        <w:rPr>
          <w:rFonts w:ascii="Times New Roman" w:hAnsi="Times New Roman" w:cs="Times New Roman"/>
          <w:noProof/>
        </w:rPr>
        <w:t xml:space="preserve">The quantification of credit exposure is presented as well as risk mitigation methods. </w:t>
      </w:r>
    </w:p>
    <w:p w:rsidR="003F6451" w:rsidRDefault="006521D7" w:rsidP="007E3085">
      <w:pPr>
        <w:tabs>
          <w:tab w:val="center" w:pos="4800"/>
          <w:tab w:val="right" w:pos="9500"/>
        </w:tabs>
        <w:spacing w:line="480" w:lineRule="auto"/>
        <w:ind w:firstLine="720"/>
        <w:jc w:val="both"/>
        <w:rPr>
          <w:rFonts w:ascii="Times New Roman" w:hAnsi="Times New Roman" w:cs="Times New Roman"/>
          <w:noProof/>
        </w:rPr>
      </w:pPr>
      <w:r w:rsidRPr="006521D7">
        <w:rPr>
          <w:rFonts w:ascii="Times New Roman" w:hAnsi="Times New Roman" w:cs="Times New Roman"/>
          <w:noProof/>
        </w:rPr>
        <w:t xml:space="preserve">Under usual approaches CVA is measured at the counterparty level. Nevertheless, it can be sometimes required to determine contributions of individual trades to the CVA at the counterparty level. Pykhtin and Rosen (2010) thoroughly analyse the problem of allocating CVA to the individual trades. They explain how this problem can be simplified to calculating contributions of the trades to the expected exposure of the each counterparty where the expected exposure is </w:t>
      </w:r>
      <w:r w:rsidRPr="006521D7">
        <w:rPr>
          <w:rFonts w:ascii="Times New Roman" w:hAnsi="Times New Roman" w:cs="Times New Roman"/>
          <w:noProof/>
        </w:rPr>
        <w:lastRenderedPageBreak/>
        <w:t>conditioned by the default of counterparty.</w:t>
      </w:r>
      <w:bookmarkStart w:id="1" w:name="_GoBack"/>
      <w:bookmarkEnd w:id="1"/>
    </w:p>
    <w:p w:rsidR="00552C9B" w:rsidRDefault="00552C9B" w:rsidP="007E3085">
      <w:pPr>
        <w:tabs>
          <w:tab w:val="center" w:pos="4800"/>
          <w:tab w:val="right" w:pos="9500"/>
        </w:tabs>
        <w:spacing w:line="480" w:lineRule="auto"/>
        <w:ind w:firstLine="720"/>
        <w:jc w:val="both"/>
        <w:rPr>
          <w:rFonts w:ascii="Times New Roman" w:hAnsi="Times New Roman" w:cs="Times New Roman"/>
          <w:noProof/>
        </w:rPr>
      </w:pPr>
      <w:r>
        <w:rPr>
          <w:rFonts w:ascii="Times New Roman" w:hAnsi="Times New Roman" w:cs="Times New Roman"/>
          <w:noProof/>
        </w:rPr>
        <w:t>K modelování úrokové míry budeme využívat Hull-White model. Hull a White publikují i o CVA v Hull and White (2012).</w:t>
      </w:r>
    </w:p>
    <w:p w:rsidR="006521D7" w:rsidRPr="00FC7EEF" w:rsidRDefault="006521D7"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0A7396" w:rsidP="007E3085">
      <w:pPr>
        <w:tabs>
          <w:tab w:val="center" w:pos="4800"/>
          <w:tab w:val="right" w:pos="9500"/>
        </w:tabs>
        <w:spacing w:line="480" w:lineRule="auto"/>
        <w:ind w:firstLine="720"/>
        <w:jc w:val="both"/>
        <w:rPr>
          <w:rFonts w:ascii="Times New Roman" w:hAnsi="Times New Roman" w:cs="Times New Roman"/>
          <w:noProof/>
          <w:sz w:val="32"/>
          <w:szCs w:val="32"/>
        </w:rPr>
      </w:pPr>
      <w:bookmarkStart w:id="2" w:name="GrindEQpgref5821e9902"/>
      <w:bookmarkEnd w:id="2"/>
      <w:r>
        <w:rPr>
          <w:rFonts w:ascii="Times New Roman" w:hAnsi="Times New Roman" w:cs="Times New Roman"/>
          <w:b/>
          <w:bCs/>
          <w:noProof/>
          <w:sz w:val="32"/>
          <w:szCs w:val="32"/>
        </w:rPr>
        <w:t>Materials and Methods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 this section, we developed the basic methodology to compute CVA and describe the basic terms.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3" w:name="GrindEQpgref5821e9903"/>
      <w:bookmarkEnd w:id="3"/>
      <w:r w:rsidRPr="000A7396">
        <w:rPr>
          <w:rFonts w:ascii="Times New Roman" w:hAnsi="Times New Roman" w:cs="Times New Roman"/>
          <w:b/>
          <w:bCs/>
          <w:noProof/>
          <w:sz w:val="28"/>
          <w:szCs w:val="28"/>
        </w:rPr>
        <w:t>Components of credit valuation adjustment and terminology</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FC7EEF">
        <w:rPr>
          <w:rFonts w:ascii="Times New Roman" w:hAnsi="Times New Roman" w:cs="Times New Roman"/>
          <w:i/>
          <w:iCs/>
          <w:noProof/>
        </w:rPr>
        <w:t>The credit valuation adjustment</w:t>
      </w:r>
      <w:r w:rsidRPr="00FC7EEF">
        <w:rPr>
          <w:rFonts w:ascii="Times New Roman" w:hAnsi="Times New Roman" w:cs="Times New Roman"/>
          <w:noProof/>
        </w:rPr>
        <w:t xml:space="preserve"> is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CVA</m:t>
        </m:r>
        <m:r>
          <m:rPr>
            <m:sty m:val="p"/>
          </m:rPr>
          <w:rPr>
            <w:rFonts w:ascii="Cambria Math" w:hAnsi="Cambria Math" w:cs="Times New Roman"/>
            <w:noProof/>
          </w:rPr>
          <m:t>=(1-</m:t>
        </m:r>
        <m:r>
          <w:rPr>
            <w:rFonts w:ascii="Cambria Math" w:hAnsi="Cambria Math" w:cs="Times New Roman"/>
            <w:noProof/>
          </w:rPr>
          <m:t>R</m:t>
        </m:r>
        <m:r>
          <m:rPr>
            <m:sty m:val="p"/>
          </m:rPr>
          <w:rPr>
            <w:rFonts w:ascii="Cambria Math" w:hAnsi="Cambria Math" w:cs="Times New Roman"/>
            <w:noProof/>
          </w:rPr>
          <m:t>)</m:t>
        </m:r>
        <m:nary>
          <m:naryPr>
            <m:limLoc m:val="subSup"/>
            <m:ctrlPr>
              <w:rPr>
                <w:rFonts w:ascii="Cambria Math" w:hAnsi="Cambria Math" w:cs="Times New Roman"/>
                <w:noProof/>
              </w:rPr>
            </m:ctrlPr>
          </m:naryPr>
          <m:sub>
            <m:r>
              <m:rPr>
                <m:sty m:val="p"/>
              </m:rPr>
              <w:rPr>
                <w:rFonts w:ascii="Cambria Math" w:hAnsi="Cambria Math" w:cs="Times New Roman"/>
                <w:noProof/>
              </w:rPr>
              <m:t>0</m:t>
            </m:r>
          </m:sub>
          <m:sup>
            <m:r>
              <w:rPr>
                <w:rFonts w:ascii="Cambria Math" w:hAnsi="Cambria Math" w:cs="Times New Roman"/>
                <w:noProof/>
              </w:rPr>
              <m:t>T</m:t>
            </m:r>
          </m:sup>
          <m:e>
            <m:r>
              <m:rPr>
                <m:sty m:val="p"/>
              </m:rPr>
              <w:rPr>
                <w:rFonts w:ascii="Cambria Math" w:hAnsi="Cambria Math" w:cs="Times New Roman"/>
                <w:noProof/>
              </w:rPr>
              <m:t>‍</m:t>
            </m:r>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(1)</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R</m:t>
        </m:r>
      </m:oMath>
      <w:r w:rsidRPr="00FC7EEF">
        <w:rPr>
          <w:rFonts w:ascii="Times New Roman" w:hAnsi="Times New Roman" w:cs="Times New Roman"/>
          <w:noProof/>
        </w:rPr>
        <w:t xml:space="preserve"> is recovery rate,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the discounted expected exposure at time </w:t>
      </w:r>
      <m:oMath>
        <m:r>
          <w:rPr>
            <w:rFonts w:ascii="Cambria Math" w:hAnsi="Cambria Math" w:cs="Times New Roman"/>
            <w:noProof/>
          </w:rPr>
          <m:t>t</m:t>
        </m:r>
      </m:oMath>
      <w:r w:rsidRPr="00FC7EEF">
        <w:rPr>
          <w:rFonts w:ascii="Times New Roman" w:hAnsi="Times New Roman" w:cs="Times New Roman"/>
          <w:noProof/>
        </w:rPr>
        <w:t xml:space="preserve"> and </w:t>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probability of default.  In what follows, we specify the components of CVA. Recovery rate is the value of unity less </w:t>
      </w:r>
      <w:r w:rsidRPr="00FC7EEF">
        <w:rPr>
          <w:rFonts w:ascii="Times New Roman" w:hAnsi="Times New Roman" w:cs="Times New Roman"/>
          <w:i/>
          <w:iCs/>
          <w:noProof/>
        </w:rPr>
        <w:t>Loss given default (LGD)</w:t>
      </w:r>
      <w:r w:rsidRPr="00FC7EEF">
        <w:rPr>
          <w:rFonts w:ascii="Times New Roman" w:hAnsi="Times New Roman" w:cs="Times New Roman"/>
          <w:noProof/>
        </w:rPr>
        <w:t xml:space="preserve">, i.e. </w:t>
      </w:r>
      <m:oMath>
        <m:r>
          <w:rPr>
            <w:rFonts w:ascii="Cambria Math" w:hAnsi="Cambria Math" w:cs="Times New Roman"/>
            <w:noProof/>
          </w:rPr>
          <m:t>R</m:t>
        </m:r>
        <m:r>
          <m:rPr>
            <m:sty m:val="p"/>
          </m:rPr>
          <w:rPr>
            <w:rFonts w:ascii="Cambria Math" w:hAnsi="Cambria Math" w:cs="Times New Roman"/>
            <w:noProof/>
          </w:rPr>
          <m:t>=1-</m:t>
        </m:r>
        <m:r>
          <w:rPr>
            <w:rFonts w:ascii="Cambria Math" w:hAnsi="Cambria Math" w:cs="Times New Roman"/>
            <w:noProof/>
          </w:rPr>
          <m:t>LGD</m:t>
        </m:r>
      </m:oMath>
      <w:r w:rsidRPr="00FC7EEF">
        <w:rPr>
          <w:rFonts w:ascii="Times New Roman" w:hAnsi="Times New Roman" w:cs="Times New Roman"/>
          <w:noProof/>
        </w:rPr>
        <w:t>. The LGD is the percentage amount of the exposure expected to be lost if the counterparty defaults.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counterparty credit exposure </w:t>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of the bank to a counterparty at time </w:t>
      </w:r>
      <m:oMath>
        <m:r>
          <w:rPr>
            <w:rFonts w:ascii="Cambria Math" w:hAnsi="Cambria Math" w:cs="Times New Roman"/>
            <w:noProof/>
          </w:rPr>
          <m:t>t</m:t>
        </m:r>
      </m:oMath>
      <w:r w:rsidRPr="00FC7EEF">
        <w:rPr>
          <w:rFonts w:ascii="Times New Roman" w:hAnsi="Times New Roman" w:cs="Times New Roman"/>
          <w:noProof/>
        </w:rPr>
        <w:t xml:space="preserve"> (hereafter simply exposure) is defined as the economic loss, incurred on all outstanding transactions with the counterparty if the counterparty defaults at </w:t>
      </w:r>
      <m:oMath>
        <m:r>
          <w:rPr>
            <w:rFonts w:ascii="Cambria Math" w:hAnsi="Cambria Math" w:cs="Times New Roman"/>
            <w:noProof/>
          </w:rPr>
          <m:t>t</m:t>
        </m:r>
      </m:oMath>
      <w:r w:rsidRPr="00FC7EEF">
        <w:rPr>
          <w:rFonts w:ascii="Times New Roman" w:hAnsi="Times New Roman" w:cs="Times New Roman"/>
          <w:noProof/>
        </w:rPr>
        <w:t xml:space="preserve">. Denote the value of the </w:t>
      </w:r>
      <m:oMath>
        <m:r>
          <w:rPr>
            <w:rFonts w:ascii="Cambria Math" w:hAnsi="Cambria Math" w:cs="Times New Roman"/>
            <w:noProof/>
          </w:rPr>
          <m:t>i</m:t>
        </m:r>
      </m:oMath>
      <w:r w:rsidRPr="00FC7EEF">
        <w:rPr>
          <w:rFonts w:ascii="Times New Roman" w:hAnsi="Times New Roman" w:cs="Times New Roman"/>
          <w:noProof/>
        </w:rPr>
        <w:t xml:space="preserve">-th instrument in the </w:t>
      </w:r>
      <w:r w:rsidRPr="00FC7EEF">
        <w:rPr>
          <w:rFonts w:ascii="Times New Roman" w:hAnsi="Times New Roman" w:cs="Times New Roman"/>
          <w:noProof/>
        </w:rPr>
        <w:lastRenderedPageBreak/>
        <w:t xml:space="preserve">portfolio at time </w:t>
      </w:r>
      <m:oMath>
        <m:r>
          <w:rPr>
            <w:rFonts w:ascii="Cambria Math" w:hAnsi="Cambria Math" w:cs="Times New Roman"/>
            <w:noProof/>
          </w:rPr>
          <m:t>t</m:t>
        </m:r>
      </m:oMath>
      <w:r w:rsidRPr="00FC7EEF">
        <w:rPr>
          <w:rFonts w:ascii="Times New Roman" w:hAnsi="Times New Roman" w:cs="Times New Roman"/>
          <w:noProof/>
        </w:rPr>
        <w:t xml:space="preserve"> by </w:t>
      </w:r>
      <m:oMath>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The value of the counterparty portfolio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N</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(2)</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When netting is not allowed, the exposure E(t)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N</m:t>
            </m:r>
          </m:sup>
          <m:e>
            <m:r>
              <m:rPr>
                <m:sty m:val="p"/>
              </m:rPr>
              <w:rPr>
                <w:rFonts w:ascii="Cambria Math" w:hAnsi="Cambria Math" w:cs="Times New Roman"/>
                <w:noProof/>
              </w:rPr>
              <m:t>‍</m:t>
            </m:r>
          </m:e>
        </m:nary>
        <m:r>
          <m:rPr>
            <m:sty m:val="p"/>
          </m:rPr>
          <w:rPr>
            <w:rFonts w:ascii="Cambria Math" w:hAnsi="Cambria Math" w:cs="Times New Roman"/>
            <w:noProof/>
          </w:rPr>
          <m:t>max{</m:t>
        </m:r>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),0}.</m:t>
        </m:r>
      </m:oMath>
      <w:r w:rsidRPr="00FC7EEF">
        <w:rPr>
          <w:rFonts w:ascii="Times New Roman" w:hAnsi="Times New Roman" w:cs="Times New Roman"/>
          <w:noProof/>
        </w:rPr>
        <w:tab/>
        <w:t>(3)</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For a counterparty portfolio with a netting agreement, the exposure is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)=max{</m:t>
        </m:r>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),0}.</m:t>
        </m:r>
      </m:oMath>
      <w:r w:rsidRPr="00FC7EEF">
        <w:rPr>
          <w:rFonts w:ascii="Times New Roman" w:hAnsi="Times New Roman" w:cs="Times New Roman"/>
          <w:noProof/>
        </w:rPr>
        <w:tab/>
        <w:t>(4)</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Discounting is a financial mechanism in which a future value is being recalculated to the present value. The discount factor, </w:t>
      </w:r>
      <m:oMath>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the factor by which a future cash flow must be multiplied in order to obtain the present value. Consider the discount factor at time </w:t>
      </w:r>
      <m:oMath>
        <m:r>
          <w:rPr>
            <w:rFonts w:ascii="Cambria Math" w:hAnsi="Cambria Math" w:cs="Times New Roman"/>
            <w:noProof/>
          </w:rPr>
          <m:t>t</m:t>
        </m:r>
      </m:oMath>
      <w:r w:rsidRPr="00FC7EEF">
        <w:rPr>
          <w:rFonts w:ascii="Times New Roman" w:hAnsi="Times New Roman" w:cs="Times New Roman"/>
          <w:noProof/>
        </w:rPr>
        <w:t xml:space="preserve">,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B</m:t>
                </m:r>
              </m:e>
              <m:sub>
                <m:r>
                  <m:rPr>
                    <m:sty m:val="p"/>
                  </m:rPr>
                  <w:rPr>
                    <w:rFonts w:ascii="Cambria Math" w:hAnsi="Cambria Math" w:cs="Times New Roman"/>
                    <w:noProof/>
                  </w:rPr>
                  <m:t>0</m:t>
                </m:r>
              </m:sub>
            </m:sSub>
          </m:num>
          <m:den>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t</m:t>
                </m:r>
              </m:sub>
            </m:sSub>
          </m:den>
        </m:f>
        <m:r>
          <m:rPr>
            <m:sty m:val="p"/>
          </m:rPr>
          <w:rPr>
            <w:rFonts w:ascii="Cambria Math" w:hAnsi="Cambria Math" w:cs="Times New Roman"/>
            <w:noProof/>
          </w:rPr>
          <m:t>=</m:t>
        </m:r>
        <m:sSup>
          <m:sSupPr>
            <m:ctrlPr>
              <w:rPr>
                <w:rFonts w:ascii="Cambria Math" w:hAnsi="Cambria Math" w:cs="Times New Roman"/>
              </w:rPr>
            </m:ctrlPr>
          </m:sSupPr>
          <m:e>
            <m:r>
              <w:rPr>
                <w:rFonts w:ascii="Cambria Math" w:hAnsi="Cambria Math" w:cs="Times New Roman"/>
                <w:noProof/>
              </w:rPr>
              <m:t>e</m:t>
            </m:r>
          </m:e>
          <m:sup>
            <m:r>
              <m:rPr>
                <m:sty m:val="p"/>
              </m:rPr>
              <w:rPr>
                <w:rFonts w:ascii="Cambria Math" w:hAnsi="Cambria Math" w:cs="Times New Roman"/>
                <w:noProof/>
              </w:rPr>
              <m:t>-</m:t>
            </m:r>
            <m:r>
              <w:rPr>
                <w:rFonts w:ascii="Cambria Math" w:hAnsi="Cambria Math" w:cs="Times New Roman"/>
                <w:noProof/>
              </w:rPr>
              <m:t>rt</m:t>
            </m:r>
          </m:sup>
        </m:sSup>
        <m:r>
          <m:rPr>
            <m:sty m:val="p"/>
          </m:rPr>
          <w:rPr>
            <w:rFonts w:ascii="Cambria Math" w:hAnsi="Cambria Math" w:cs="Times New Roman"/>
            <w:noProof/>
          </w:rPr>
          <m:t>,</m:t>
        </m:r>
      </m:oMath>
      <w:r w:rsidRPr="00FC7EEF">
        <w:rPr>
          <w:rFonts w:ascii="Times New Roman" w:hAnsi="Times New Roman" w:cs="Times New Roman"/>
          <w:noProof/>
        </w:rPr>
        <w:tab/>
        <w:t>(5)</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r</m:t>
        </m:r>
      </m:oMath>
      <w:r w:rsidRPr="00FC7EEF">
        <w:rPr>
          <w:rFonts w:ascii="Times New Roman" w:hAnsi="Times New Roman" w:cs="Times New Roman"/>
          <w:noProof/>
        </w:rPr>
        <w:t xml:space="preserve"> is risk-free rate of return and </w:t>
      </w:r>
      <m:oMath>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t</m:t>
            </m:r>
          </m:sub>
        </m:sSub>
      </m:oMath>
      <w:r w:rsidRPr="00FC7EEF">
        <w:rPr>
          <w:rFonts w:ascii="Times New Roman" w:hAnsi="Times New Roman" w:cs="Times New Roman"/>
          <w:noProof/>
        </w:rPr>
        <w:t xml:space="preserve"> is the value of risk free asset at time </w:t>
      </w:r>
      <m:oMath>
        <m:r>
          <w:rPr>
            <w:rFonts w:ascii="Cambria Math" w:hAnsi="Cambria Math" w:cs="Times New Roman"/>
            <w:noProof/>
          </w:rPr>
          <m:t>t</m:t>
        </m:r>
      </m:oMath>
      <w:r w:rsidRPr="00FC7EEF">
        <w:rPr>
          <w:rFonts w:ascii="Times New Roman" w:hAnsi="Times New Roman" w:cs="Times New Roman"/>
          <w:noProof/>
        </w:rPr>
        <w:t xml:space="preserve">. Hence, the discounted expected exposure at time </w:t>
      </w:r>
      <m:oMath>
        <m:r>
          <w:rPr>
            <w:rFonts w:ascii="Cambria Math" w:hAnsi="Cambria Math" w:cs="Times New Roman"/>
            <w:noProof/>
          </w:rPr>
          <m:t>t</m:t>
        </m:r>
      </m:oMath>
      <w:r w:rsidRPr="00FC7EEF">
        <w:rPr>
          <w:rFonts w:ascii="Times New Roman" w:hAnsi="Times New Roman" w:cs="Times New Roman"/>
          <w:noProof/>
        </w:rPr>
        <w:t xml:space="preserve"> conditional on the counterparty default at time </w:t>
      </w:r>
      <m:oMath>
        <m:r>
          <w:rPr>
            <w:rFonts w:ascii="Cambria Math" w:hAnsi="Cambria Math" w:cs="Times New Roman"/>
            <w:noProof/>
          </w:rPr>
          <m:t>t</m:t>
        </m:r>
      </m:oMath>
      <w:r w:rsidRPr="00FC7EEF">
        <w:rPr>
          <w:rFonts w:ascii="Times New Roman" w:hAnsi="Times New Roman" w:cs="Times New Roman"/>
          <w:noProof/>
        </w:rPr>
        <w:t xml:space="preserve">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(6)</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Next component of the equation (1) is </w:t>
      </w:r>
      <w:r w:rsidRPr="00FC7EEF">
        <w:rPr>
          <w:rFonts w:ascii="Times New Roman" w:hAnsi="Times New Roman" w:cs="Times New Roman"/>
          <w:i/>
          <w:iCs/>
          <w:noProof/>
        </w:rPr>
        <w:t>Probability of Default</w:t>
      </w:r>
      <w:r w:rsidRPr="00FC7EEF">
        <w:rPr>
          <w:rFonts w:ascii="Times New Roman" w:hAnsi="Times New Roman" w:cs="Times New Roman"/>
          <w:noProof/>
        </w:rPr>
        <w:t xml:space="preserve">, </w:t>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which describes the creditworthiness of a counterparty. It provides an estimate of the likelihood that a borrower will be unable to meet its debt obligations. There are many alternatives for estimating the probability of default. The frequently used approach, taken by many banks, is to use external ratings agencies (such as S&amp;P, Fitch or Moody's) for estimating PD from historical default experience.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32"/>
          <w:szCs w:val="32"/>
        </w:rPr>
      </w:pPr>
      <w:bookmarkStart w:id="4" w:name="GrindEQpgref5821e9904"/>
      <w:bookmarkEnd w:id="4"/>
      <w:r w:rsidRPr="000A7396">
        <w:rPr>
          <w:rFonts w:ascii="Times New Roman" w:hAnsi="Times New Roman" w:cs="Times New Roman"/>
          <w:b/>
          <w:bCs/>
          <w:noProof/>
          <w:sz w:val="32"/>
          <w:szCs w:val="32"/>
        </w:rPr>
        <w:t>Results</w:t>
      </w:r>
    </w:p>
    <w:p w:rsidR="009476D7"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lastRenderedPageBreak/>
        <w:t xml:space="preserve"> The numerical illustration of the calculation of CVA will be introduced in this section. We work with data set of interest rate swaps from the year 2015. An </w:t>
      </w:r>
      <w:r w:rsidRPr="00FC7EEF">
        <w:rPr>
          <w:rFonts w:ascii="Times New Roman" w:hAnsi="Times New Roman" w:cs="Times New Roman"/>
          <w:i/>
          <w:iCs/>
          <w:noProof/>
        </w:rPr>
        <w:t>interest rate swap (IRS)</w:t>
      </w:r>
      <w:r w:rsidRPr="00FC7EEF">
        <w:rPr>
          <w:rFonts w:ascii="Times New Roman" w:hAnsi="Times New Roman" w:cs="Times New Roman"/>
          <w:noProof/>
        </w:rPr>
        <w:t xml:space="preserve"> is an agreement between two parties to exchange a interest rate cash flows on specified intervals and over a certain period of time. These data come from a bank operating in the Czech Republic. The data contains information about five vanilla interest rate swaps and each of them is associat</w:t>
      </w:r>
      <w:r w:rsidR="001646E3">
        <w:rPr>
          <w:rFonts w:ascii="Times New Roman" w:hAnsi="Times New Roman" w:cs="Times New Roman"/>
          <w:noProof/>
        </w:rPr>
        <w:t>ed with different counterparty.</w:t>
      </w:r>
      <w:r w:rsidRPr="00FC7EEF">
        <w:rPr>
          <w:rFonts w:ascii="Times New Roman" w:hAnsi="Times New Roman" w:cs="Times New Roman"/>
          <w:noProof/>
        </w:rPr>
        <w:t xml:space="preserve"> </w:t>
      </w:r>
    </w:p>
    <w:p w:rsidR="003F6451" w:rsidRPr="00FC7EEF" w:rsidRDefault="009C50D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Tab</w:t>
      </w:r>
      <w:r w:rsidR="000C105B">
        <w:rPr>
          <w:rFonts w:ascii="Times New Roman" w:hAnsi="Times New Roman" w:cs="Times New Roman"/>
          <w:noProof/>
        </w:rPr>
        <w:t>le</w:t>
      </w:r>
      <w:r>
        <w:rPr>
          <w:rFonts w:ascii="Times New Roman" w:hAnsi="Times New Roman" w:cs="Times New Roman"/>
          <w:noProof/>
        </w:rPr>
        <w:t xml:space="preserve"> I</w:t>
      </w:r>
      <w:r w:rsidR="003F6451" w:rsidRPr="00FC7EEF">
        <w:rPr>
          <w:rFonts w:ascii="Times New Roman" w:hAnsi="Times New Roman" w:cs="Times New Roman"/>
          <w:noProof/>
        </w:rPr>
        <w:t>: Variables in a data set</w:t>
      </w:r>
    </w:p>
    <w:tbl>
      <w:tblPr>
        <w:tblStyle w:val="LightShading"/>
        <w:tblW w:w="0" w:type="auto"/>
        <w:jc w:val="center"/>
        <w:tblLayout w:type="fixed"/>
        <w:tblLook w:val="0420" w:firstRow="1" w:lastRow="0" w:firstColumn="0" w:lastColumn="0" w:noHBand="0" w:noVBand="1"/>
      </w:tblPr>
      <w:tblGrid>
        <w:gridCol w:w="2280"/>
        <w:gridCol w:w="3420"/>
      </w:tblGrid>
      <w:tr w:rsidR="009476D7" w:rsidRPr="00FC7EEF"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Notation</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Name of Variable</w:t>
            </w:r>
          </w:p>
        </w:tc>
      </w:tr>
      <w:tr w:rsidR="009476D7" w:rsidRPr="00FC7EEF"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ID</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Counterparty ID</w:t>
            </w:r>
          </w:p>
        </w:tc>
      </w:tr>
      <w:tr w:rsidR="009476D7" w:rsidRPr="00FC7EEF" w:rsidTr="000C105B">
        <w:trPr>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principal</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Principal of swap</w:t>
            </w:r>
          </w:p>
        </w:tc>
      </w:tr>
      <w:tr w:rsidR="009476D7" w:rsidRPr="00FC7EEF"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maturity</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Maturity date of swap</w:t>
            </w:r>
          </w:p>
        </w:tc>
      </w:tr>
      <w:tr w:rsidR="009476D7" w:rsidRPr="00FC7EEF" w:rsidTr="000C105B">
        <w:trPr>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LegRateReceiving</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Interest rate received by bank</w:t>
            </w:r>
          </w:p>
        </w:tc>
      </w:tr>
      <w:tr w:rsidR="009476D7" w:rsidRPr="00FC7EEF"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LegRatePaying</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Interest rate paid by bank</w:t>
            </w:r>
          </w:p>
        </w:tc>
      </w:tr>
      <w:tr w:rsidR="009476D7" w:rsidRPr="00FC7EEF" w:rsidTr="000C105B">
        <w:trPr>
          <w:trHeight w:val="535"/>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period</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Period of paying</w:t>
            </w:r>
          </w:p>
        </w:tc>
      </w:tr>
    </w:tbl>
    <w:p w:rsidR="001B7CA5" w:rsidRDefault="001B7CA5" w:rsidP="007E3085">
      <w:pPr>
        <w:tabs>
          <w:tab w:val="center" w:pos="4800"/>
          <w:tab w:val="right" w:pos="9500"/>
        </w:tabs>
        <w:spacing w:line="480" w:lineRule="auto"/>
        <w:ind w:firstLine="720"/>
        <w:jc w:val="both"/>
        <w:rPr>
          <w:rFonts w:ascii="Times New Roman" w:hAnsi="Times New Roman" w:cs="Times New Roman"/>
        </w:rPr>
      </w:pPr>
      <w:r>
        <w:rPr>
          <w:rFonts w:ascii="Times New Roman" w:hAnsi="Times New Roman" w:cs="Times New Roman"/>
        </w:rPr>
        <w:t>Source:</w:t>
      </w:r>
      <w:r w:rsidR="003F6451" w:rsidRPr="00FC7EEF">
        <w:rPr>
          <w:rFonts w:ascii="Times New Roman" w:hAnsi="Times New Roman" w:cs="Times New Roman"/>
        </w:rPr>
        <w:t xml:space="preserve"> </w:t>
      </w:r>
      <w:bookmarkStart w:id="5" w:name="GrindEQpgref5821e9905"/>
      <w:bookmarkEnd w:id="5"/>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r w:rsidRPr="000A7396">
        <w:rPr>
          <w:rFonts w:ascii="Times New Roman" w:hAnsi="Times New Roman" w:cs="Times New Roman"/>
          <w:b/>
          <w:bCs/>
          <w:noProof/>
          <w:sz w:val="28"/>
          <w:szCs w:val="28"/>
        </w:rPr>
        <w:t>Initial yield curve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 order to evaluate the swaps, is necessary to describe a discount curve. The initial discount curve can be obtain by a linear interpolation of the risk free interest rates of different maturities. The initial rates were found at the web page of PATRIA (URLhttp://www.patria.cz/kurzy/CZK/5Y/irs/graf.html) </w:t>
      </w:r>
      <w:r w:rsidR="000C105B">
        <w:rPr>
          <w:rFonts w:ascii="Times New Roman" w:hAnsi="Times New Roman" w:cs="Times New Roman"/>
          <w:noProof/>
        </w:rPr>
        <w:t>and we can see them in the Tab.</w:t>
      </w:r>
      <w:r w:rsidRPr="00FC7EEF">
        <w:rPr>
          <w:rFonts w:ascii="Times New Roman" w:hAnsi="Times New Roman" w:cs="Times New Roman"/>
          <w:noProof/>
        </w:rPr>
        <w:t xml:space="preserve"> </w:t>
      </w:r>
      <w:r w:rsidR="000C105B">
        <w:rPr>
          <w:rFonts w:ascii="Times New Roman" w:hAnsi="Times New Roman" w:cs="Times New Roman"/>
          <w:noProof/>
        </w:rPr>
        <w:t>II.</w:t>
      </w:r>
      <w:r w:rsidR="009C50DB">
        <w:rPr>
          <w:rFonts w:ascii="Times New Roman" w:hAnsi="Times New Roman" w:cs="Times New Roman"/>
          <w:noProof/>
        </w:rPr>
        <w:t xml:space="preserve"> </w:t>
      </w:r>
      <w:r w:rsidRPr="00FC7EEF">
        <w:rPr>
          <w:rFonts w:ascii="Times New Roman" w:hAnsi="Times New Roman" w:cs="Times New Roman"/>
          <w:noProof/>
        </w:rPr>
        <w:t>The interest rate shorter than one year were extracted from PRIBOR rates on</w:t>
      </w:r>
      <w:r w:rsidR="000C105B">
        <w:rPr>
          <w:rFonts w:ascii="Times New Roman" w:hAnsi="Times New Roman" w:cs="Times New Roman"/>
          <w:noProof/>
        </w:rPr>
        <w:t xml:space="preserve"> October 30th, 2015. The Fig.</w:t>
      </w:r>
      <w:r w:rsidRPr="00FC7EEF">
        <w:rPr>
          <w:rFonts w:ascii="Times New Roman" w:hAnsi="Times New Roman" w:cs="Times New Roman"/>
          <w:noProof/>
        </w:rPr>
        <w:t xml:space="preserve"> 1 shows the initial yield curve at settlement date which was built fr</w:t>
      </w:r>
      <w:r w:rsidR="000C105B">
        <w:rPr>
          <w:rFonts w:ascii="Times New Roman" w:hAnsi="Times New Roman" w:cs="Times New Roman"/>
          <w:noProof/>
        </w:rPr>
        <w:t>om the initial rates in the Tab. II</w:t>
      </w:r>
      <w:r w:rsidRPr="00FC7EEF">
        <w:rPr>
          <w:rFonts w:ascii="Times New Roman" w:hAnsi="Times New Roman" w:cs="Times New Roman"/>
          <w:noProof/>
        </w:rPr>
        <w:t xml:space="preserve">. </w:t>
      </w:r>
    </w:p>
    <w:p w:rsidR="003F6451" w:rsidRPr="00FC7EEF" w:rsidRDefault="009C50D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lastRenderedPageBreak/>
        <w:t>Tab</w:t>
      </w:r>
      <w:r w:rsidR="000C105B">
        <w:rPr>
          <w:rFonts w:ascii="Times New Roman" w:hAnsi="Times New Roman" w:cs="Times New Roman"/>
          <w:noProof/>
        </w:rPr>
        <w:t>le</w:t>
      </w:r>
      <w:r>
        <w:rPr>
          <w:rFonts w:ascii="Times New Roman" w:hAnsi="Times New Roman" w:cs="Times New Roman"/>
          <w:noProof/>
        </w:rPr>
        <w:t xml:space="preserve"> II</w:t>
      </w:r>
      <w:r w:rsidR="003F6451" w:rsidRPr="00FC7EEF">
        <w:rPr>
          <w:rFonts w:ascii="Times New Roman" w:hAnsi="Times New Roman" w:cs="Times New Roman"/>
          <w:noProof/>
        </w:rPr>
        <w:t>: Initial rates</w:t>
      </w:r>
    </w:p>
    <w:tbl>
      <w:tblPr>
        <w:tblStyle w:val="LightShading"/>
        <w:tblW w:w="0" w:type="auto"/>
        <w:jc w:val="center"/>
        <w:tblLook w:val="0420" w:firstRow="1" w:lastRow="0" w:firstColumn="0" w:lastColumn="0" w:noHBand="0" w:noVBand="1"/>
      </w:tblPr>
      <w:tblGrid>
        <w:gridCol w:w="1644"/>
        <w:gridCol w:w="1644"/>
      </w:tblGrid>
      <w:tr w:rsidR="003F6451" w:rsidRPr="00FC7EEF"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1644" w:type="dxa"/>
          </w:tcPr>
          <w:p w:rsidR="003F6451" w:rsidRPr="00FC7EEF" w:rsidRDefault="003F6451" w:rsidP="009C50DB">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Maturity </w:t>
            </w:r>
            <w:r w:rsidR="009C50DB">
              <w:rPr>
                <w:rFonts w:ascii="Times New Roman" w:hAnsi="Times New Roman" w:cs="Times New Roman"/>
                <w:b w:val="0"/>
                <w:bCs w:val="0"/>
              </w:rPr>
              <w:t>(</w:t>
            </w:r>
            <w:r w:rsidRPr="00FC7EEF">
              <w:rPr>
                <w:rFonts w:ascii="Times New Roman" w:hAnsi="Times New Roman" w:cs="Times New Roman"/>
              </w:rPr>
              <w:t xml:space="preserve">years)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Rate (%)</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9C50DB" w:rsidP="009C50DB">
            <w:pPr>
              <w:tabs>
                <w:tab w:val="center" w:pos="4800"/>
                <w:tab w:val="right" w:pos="9500"/>
              </w:tabs>
              <w:spacing w:line="480" w:lineRule="auto"/>
              <w:jc w:val="both"/>
              <w:rPr>
                <w:rFonts w:ascii="Times New Roman" w:hAnsi="Times New Roman" w:cs="Times New Roman"/>
              </w:rPr>
            </w:pPr>
            <w:r>
              <w:rPr>
                <w:rFonts w:ascii="Times New Roman" w:hAnsi="Times New Roman" w:cs="Times New Roman"/>
              </w:rPr>
              <w:t>0</w:t>
            </w:r>
            <w:r w:rsidR="003F6451" w:rsidRPr="00FC7EEF">
              <w:rPr>
                <w:rFonts w:ascii="Times New Roman" w:hAnsi="Times New Roman" w:cs="Times New Roman"/>
              </w:rPr>
              <w:t xml:space="preserve">.25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0.14 </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0.5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0.16 </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1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0.21 </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2</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0.25</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3</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0.28</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4</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0.33</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5</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0.40</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6</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0.47</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7</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0.56</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8</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0.65</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9</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0.75</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10</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0.83</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12</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0.99</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15</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1.16</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20</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1.27</w:t>
            </w:r>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1646E3"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lang w:val="en-US" w:eastAsia="en-US"/>
        </w:rPr>
        <w:lastRenderedPageBreak/>
        <w:drawing>
          <wp:inline distT="0" distB="0" distL="0" distR="0" wp14:anchorId="7E647994" wp14:editId="6F992DC1">
            <wp:extent cx="4029075" cy="3021806"/>
            <wp:effectExtent l="0" t="0" r="0" b="7620"/>
            <wp:docPr id="1" name="Obrázek 1" descr="C:\Users\175424\Dropbox\CVA\clanek_word\IMG\Yiel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424\Dropbox\CVA\clanek_word\IMG\YieldCurv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021806"/>
                    </a:xfrm>
                    <a:prstGeom prst="rect">
                      <a:avLst/>
                    </a:prstGeom>
                    <a:noFill/>
                    <a:ln>
                      <a:noFill/>
                    </a:ln>
                  </pic:spPr>
                </pic:pic>
              </a:graphicData>
            </a:graphic>
          </wp:inline>
        </w:drawing>
      </w:r>
    </w:p>
    <w:p w:rsidR="003F6451" w:rsidRPr="00FC7EEF" w:rsidRDefault="000C105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Figure</w:t>
      </w:r>
      <w:r w:rsidR="003F6451" w:rsidRPr="00FC7EEF">
        <w:rPr>
          <w:rFonts w:ascii="Times New Roman" w:hAnsi="Times New Roman" w:cs="Times New Roman"/>
          <w:noProof/>
        </w:rPr>
        <w:t xml:space="preserve"> 1: Yield Curve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6" w:name="GrindEQpgref5821e9906"/>
      <w:bookmarkEnd w:id="6"/>
      <w:r w:rsidRPr="000A7396">
        <w:rPr>
          <w:rFonts w:ascii="Times New Roman" w:hAnsi="Times New Roman" w:cs="Times New Roman"/>
          <w:b/>
          <w:bCs/>
          <w:noProof/>
          <w:sz w:val="28"/>
          <w:szCs w:val="28"/>
        </w:rPr>
        <w:t>Interest rate simulation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interest rate simulation is based on historical data of the three month PRIBOR rate, from 2. 1. 2014 to 24. 11. 2015. The development of three month PRIBOR ra</w:t>
      </w:r>
      <w:r w:rsidR="000C105B">
        <w:rPr>
          <w:rFonts w:ascii="Times New Roman" w:hAnsi="Times New Roman" w:cs="Times New Roman"/>
          <w:noProof/>
        </w:rPr>
        <w:t>te can be observed in the Fig.</w:t>
      </w:r>
      <w:r w:rsidRPr="00FC7EEF">
        <w:rPr>
          <w:rFonts w:ascii="Times New Roman" w:hAnsi="Times New Roman" w:cs="Times New Roman"/>
          <w:noProof/>
        </w:rPr>
        <w:t xml:space="preserve"> 2.</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7D5D7C" w:rsidRDefault="007D5D7C"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lang w:val="en-US" w:eastAsia="en-US"/>
        </w:rPr>
        <w:lastRenderedPageBreak/>
        <w:drawing>
          <wp:inline distT="0" distB="0" distL="0" distR="0">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FC7EEF" w:rsidRDefault="003F6451" w:rsidP="000C105B">
      <w:pPr>
        <w:tabs>
          <w:tab w:val="center" w:pos="4800"/>
          <w:tab w:val="right" w:pos="9500"/>
        </w:tabs>
        <w:spacing w:line="480" w:lineRule="auto"/>
        <w:ind w:firstLine="720"/>
        <w:jc w:val="center"/>
        <w:rPr>
          <w:rFonts w:ascii="Times New Roman" w:hAnsi="Times New Roman" w:cs="Times New Roman"/>
          <w:noProof/>
        </w:rPr>
      </w:pPr>
      <w:r w:rsidRPr="00FC7EEF">
        <w:rPr>
          <w:rFonts w:ascii="Times New Roman" w:hAnsi="Times New Roman" w:cs="Times New Roman"/>
          <w:noProof/>
        </w:rPr>
        <w:t>F</w:t>
      </w:r>
      <w:r w:rsidR="000C105B">
        <w:rPr>
          <w:rFonts w:ascii="Times New Roman" w:hAnsi="Times New Roman" w:cs="Times New Roman"/>
          <w:noProof/>
        </w:rPr>
        <w:t xml:space="preserve">igure </w:t>
      </w:r>
      <w:r w:rsidRPr="00FC7EEF">
        <w:rPr>
          <w:rFonts w:ascii="Times New Roman" w:hAnsi="Times New Roman" w:cs="Times New Roman"/>
          <w:noProof/>
        </w:rPr>
        <w:t>2: The three month PRIBOR rate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552C9B">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well known interest rate evolution model, Hull-White one-factor model, will be used for modeling of the interest rate term structure. The model was first published by John Hull and Alan White </w:t>
      </w:r>
      <w:r w:rsidR="002E2D21">
        <w:rPr>
          <w:rFonts w:ascii="Times New Roman" w:hAnsi="Times New Roman" w:cs="Times New Roman"/>
          <w:noProof/>
        </w:rPr>
        <w:t>(1990)</w:t>
      </w:r>
      <w:r w:rsidRPr="00FC7EEF">
        <w:rPr>
          <w:rFonts w:ascii="Times New Roman" w:hAnsi="Times New Roman" w:cs="Times New Roman"/>
          <w:noProof/>
        </w:rPr>
        <w:t xml:space="preserve"> and generalized later in</w:t>
      </w:r>
      <w:r w:rsidR="002E2D21">
        <w:rPr>
          <w:rFonts w:ascii="Times New Roman" w:hAnsi="Times New Roman" w:cs="Times New Roman"/>
          <w:noProof/>
        </w:rPr>
        <w:t xml:space="preserve"> Hull and White (2001)</w:t>
      </w:r>
      <w:r w:rsidRPr="00FC7EEF">
        <w:rPr>
          <w:rFonts w:ascii="Times New Roman" w:hAnsi="Times New Roman" w:cs="Times New Roman"/>
          <w:noProof/>
        </w:rPr>
        <w:t xml:space="preserve">. </w:t>
      </w:r>
      <w:r w:rsidR="006A0822" w:rsidRPr="006A0822">
        <w:rPr>
          <w:rFonts w:ascii="Times New Roman" w:hAnsi="Times New Roman" w:cs="Times New Roman"/>
          <w:noProof/>
        </w:rPr>
        <w:t>A general overview of the model can be found in</w:t>
      </w:r>
      <w:r w:rsidR="006A0822">
        <w:rPr>
          <w:rFonts w:ascii="Times New Roman" w:hAnsi="Times New Roman" w:cs="Times New Roman"/>
          <w:noProof/>
        </w:rPr>
        <w:t xml:space="preserve"> </w:t>
      </w:r>
      <w:r w:rsidR="00552C9B">
        <w:rPr>
          <w:rFonts w:ascii="Times New Roman" w:hAnsi="Times New Roman" w:cs="Times New Roman"/>
          <w:noProof/>
        </w:rPr>
        <w:t xml:space="preserve">Brigo, Capponi and </w:t>
      </w:r>
      <w:r w:rsidR="00552C9B" w:rsidRPr="00552C9B">
        <w:rPr>
          <w:rFonts w:ascii="Times New Roman" w:hAnsi="Times New Roman" w:cs="Times New Roman"/>
          <w:noProof/>
        </w:rPr>
        <w:t>Pallavicini</w:t>
      </w:r>
      <w:r w:rsidR="00552C9B" w:rsidRPr="00552C9B">
        <w:rPr>
          <w:rFonts w:ascii="Times New Roman" w:hAnsi="Times New Roman" w:cs="Times New Roman"/>
          <w:noProof/>
        </w:rPr>
        <w:t xml:space="preserve"> </w:t>
      </w:r>
      <w:r w:rsidR="006A0822">
        <w:rPr>
          <w:rFonts w:ascii="Times New Roman" w:hAnsi="Times New Roman" w:cs="Times New Roman"/>
          <w:noProof/>
        </w:rPr>
        <w:t xml:space="preserve">(2014). </w:t>
      </w:r>
      <w:r w:rsidRPr="00FC7EEF">
        <w:rPr>
          <w:rFonts w:ascii="Times New Roman" w:hAnsi="Times New Roman" w:cs="Times New Roman"/>
          <w:noProof/>
        </w:rPr>
        <w:t>The requirement for more accurate fit to the currently-observed yield curve, led Hull and White to the introduction of a time variable parameter in the Vasicek model. The model assumes that short rates have a normal distribution, and also that the short rates exhibit the mean reversion character. The Hull-White model extends the Vasicek and Cox-Ingersoll-Ross (CIR) models.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We can define this model by equation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θ</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αr</m:t>
        </m:r>
        <m:r>
          <m:rPr>
            <m:sty m:val="p"/>
          </m:rPr>
          <w:rPr>
            <w:rFonts w:ascii="Cambria Math" w:hAnsi="Cambria Math" w:cs="Times New Roman"/>
            <w:noProof/>
          </w:rPr>
          <m:t>]+</m:t>
        </m:r>
        <m:r>
          <w:rPr>
            <w:rFonts w:ascii="Cambria Math" w:hAnsi="Cambria Math" w:cs="Times New Roman"/>
            <w:noProof/>
          </w:rPr>
          <m:t>σ</m:t>
        </m:r>
        <m:r>
          <m:rPr>
            <m:sty m:val="p"/>
          </m:rPr>
          <w:rPr>
            <w:rFonts w:ascii="Cambria Math" w:hAnsi="Cambria Math" w:cs="Times New Roman"/>
            <w:noProof/>
          </w:rPr>
          <m:t>,</m:t>
        </m:r>
      </m:oMath>
      <w:r w:rsidRPr="00FC7EEF">
        <w:rPr>
          <w:rFonts w:ascii="Times New Roman" w:hAnsi="Times New Roman" w:cs="Times New Roman"/>
          <w:noProof/>
        </w:rPr>
        <w:tab/>
        <w:t>(7)</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change in the interest rate after a small change in time, .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Constant reversion speed.</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lastRenderedPageBreak/>
        <w:t xml:space="preserve">    Volatility of the interest rate.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A Wiener process.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Drift function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θ</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m:t>
            </m:r>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m:rPr>
                <m:sty m:val="p"/>
              </m:rPr>
              <w:rPr>
                <w:rFonts w:ascii="Cambria Math" w:hAnsi="Cambria Math" w:cs="Times New Roman"/>
                <w:noProof/>
              </w:rPr>
              <m:t>∂</m:t>
            </m:r>
            <m:r>
              <w:rPr>
                <w:rFonts w:ascii="Cambria Math" w:hAnsi="Cambria Math" w:cs="Times New Roman"/>
                <w:noProof/>
              </w:rPr>
              <m:t>t</m:t>
            </m:r>
          </m:den>
        </m:f>
        <m:r>
          <m:rPr>
            <m:sty m:val="p"/>
          </m:rPr>
          <w:rPr>
            <w:rFonts w:ascii="Cambria Math" w:hAnsi="Cambria Math" w:cs="Times New Roman"/>
            <w:noProof/>
          </w:rPr>
          <m:t>+</m:t>
        </m:r>
        <m:r>
          <w:rPr>
            <w:rFonts w:ascii="Cambria Math" w:hAnsi="Cambria Math" w:cs="Times New Roman"/>
            <w:noProof/>
          </w:rPr>
          <m:t>αF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noProof/>
                  </w:rPr>
                  <m:t>σ</m:t>
                </m:r>
              </m:e>
              <m:sup>
                <m:r>
                  <m:rPr>
                    <m:sty m:val="p"/>
                  </m:rPr>
                  <w:rPr>
                    <w:rFonts w:ascii="Cambria Math" w:hAnsi="Cambria Math" w:cs="Times New Roman"/>
                    <w:noProof/>
                  </w:rPr>
                  <m:t>2</m:t>
                </m:r>
              </m:sup>
            </m:sSup>
          </m:num>
          <m:den>
            <m:r>
              <m:rPr>
                <m:sty m:val="p"/>
              </m:rPr>
              <w:rPr>
                <w:rFonts w:ascii="Cambria Math" w:hAnsi="Cambria Math" w:cs="Times New Roman"/>
                <w:noProof/>
              </w:rPr>
              <m:t>2</m:t>
            </m:r>
            <m:r>
              <w:rPr>
                <w:rFonts w:ascii="Cambria Math" w:hAnsi="Cambria Math" w:cs="Times New Roman"/>
                <w:noProof/>
              </w:rPr>
              <m:t>α</m:t>
            </m:r>
          </m:den>
        </m:f>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r>
              <w:rPr>
                <w:rFonts w:ascii="Cambria Math" w:hAnsi="Cambria Math" w:cs="Times New Roman"/>
                <w:noProof/>
              </w:rPr>
              <m:t>αt</m:t>
            </m:r>
          </m:sup>
        </m:sSup>
        <m:r>
          <m:rPr>
            <m:sty m:val="p"/>
          </m:rPr>
          <w:rPr>
            <w:rFonts w:ascii="Cambria Math" w:hAnsi="Cambria Math" w:cs="Times New Roman"/>
            <w:noProof/>
          </w:rPr>
          <m:t>),</m:t>
        </m:r>
      </m:oMath>
      <w:r w:rsidRPr="00FC7EEF">
        <w:rPr>
          <w:rFonts w:ascii="Times New Roman" w:hAnsi="Times New Roman" w:cs="Times New Roman"/>
          <w:noProof/>
        </w:rPr>
        <w:tab/>
        <w:t>(8)</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Instantaneous forward rate at time </w:t>
      </w:r>
      <m:oMath>
        <m:r>
          <w:rPr>
            <w:rFonts w:ascii="Cambria Math" w:hAnsi="Cambria Math" w:cs="Times New Roman"/>
            <w:noProof/>
          </w:rPr>
          <m:t>t</m:t>
        </m:r>
      </m:oMath>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Instantaneous forward rate </w:t>
      </w:r>
      <m:oMath>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∂ln</m:t>
            </m:r>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m:rPr>
                <m:sty m:val="p"/>
              </m:rPr>
              <w:rPr>
                <w:rFonts w:ascii="Cambria Math" w:hAnsi="Cambria Math" w:cs="Times New Roman"/>
                <w:noProof/>
              </w:rPr>
              <m:t>∂</m:t>
            </m:r>
            <m:r>
              <w:rPr>
                <w:rFonts w:ascii="Cambria Math" w:hAnsi="Cambria Math" w:cs="Times New Roman"/>
                <w:noProof/>
              </w:rPr>
              <m:t>t</m:t>
            </m:r>
          </m:den>
        </m:f>
      </m:oMath>
      <w:r w:rsidRPr="00FC7EEF">
        <w:rPr>
          <w:rFonts w:ascii="Times New Roman" w:hAnsi="Times New Roman" w:cs="Times New Roman"/>
          <w:noProof/>
        </w:rPr>
        <w:tab/>
        <w:t>(9)</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price of a zero coupon bond at time </w:t>
      </w:r>
      <m:oMath>
        <m:r>
          <w:rPr>
            <w:rFonts w:ascii="Cambria Math" w:hAnsi="Cambria Math" w:cs="Times New Roman"/>
            <w:noProof/>
          </w:rPr>
          <m:t>t</m:t>
        </m:r>
      </m:oMath>
      <w:r w:rsidRPr="00FC7EEF">
        <w:rPr>
          <w:rFonts w:ascii="Times New Roman" w:hAnsi="Times New Roman" w:cs="Times New Roman"/>
          <w:noProof/>
        </w:rPr>
        <w:t xml:space="preserve"> with maturity at time </w:t>
      </w:r>
      <m:oMath>
        <m:r>
          <w:rPr>
            <w:rFonts w:ascii="Cambria Math" w:hAnsi="Cambria Math" w:cs="Times New Roman"/>
            <w:noProof/>
          </w:rPr>
          <m:t>T</m:t>
        </m:r>
      </m:oMath>
      <w:r w:rsidRPr="00FC7EEF">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constants </w:t>
      </w:r>
      <m:oMath>
        <m:r>
          <w:rPr>
            <w:rFonts w:ascii="Cambria Math" w:hAnsi="Cambria Math" w:cs="Times New Roman"/>
            <w:noProof/>
          </w:rPr>
          <m:t>α</m:t>
        </m:r>
      </m:oMath>
      <w:r w:rsidRPr="00FC7EEF">
        <w:rPr>
          <w:rFonts w:ascii="Times New Roman" w:hAnsi="Times New Roman" w:cs="Times New Roman"/>
          <w:noProof/>
        </w:rPr>
        <w:t xml:space="preserve"> and </w:t>
      </w:r>
      <m:oMath>
        <m:r>
          <w:rPr>
            <w:rFonts w:ascii="Cambria Math" w:hAnsi="Cambria Math" w:cs="Times New Roman"/>
            <w:noProof/>
          </w:rPr>
          <m:t>σ</m:t>
        </m:r>
      </m:oMath>
      <w:r w:rsidRPr="00FC7EEF">
        <w:rPr>
          <w:rFonts w:ascii="Times New Roman" w:hAnsi="Times New Roman" w:cs="Times New Roman"/>
          <w:noProof/>
        </w:rPr>
        <w:t xml:space="preserve"> are extracted from the historical three month PRIBOR rates. We use equation (7) to simulated the short interest rates. We can expand the entire interest rate curve from the short rate using </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sup>
        </m:sSup>
      </m:oMath>
      <w:r w:rsidRPr="00FC7EEF">
        <w:rPr>
          <w:rFonts w:ascii="Times New Roman" w:hAnsi="Times New Roman" w:cs="Times New Roman"/>
          <w:noProof/>
        </w:rPr>
        <w:tab/>
        <w:t>(10)</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m:rPr>
            <m:sty m:val="p"/>
          </m:rPr>
          <w:rPr>
            <w:rFonts w:ascii="Cambria Math" w:hAnsi="Cambria Math" w:cs="Times New Roman"/>
            <w:noProof/>
          </w:rPr>
          <m:t>ln</m:t>
        </m:r>
        <m: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)=ln</m:t>
        </m:r>
        <m:f>
          <m:fPr>
            <m:ctrlPr>
              <w:rPr>
                <w:rFonts w:ascii="Cambria Math" w:hAnsi="Cambria Math" w:cs="Times New Roman"/>
              </w:rPr>
            </m:ctrlPr>
          </m:fPr>
          <m:num>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den>
        </m:f>
        <m:r>
          <m:rPr>
            <m:sty m:val="p"/>
          </m:rPr>
          <w:rPr>
            <w:rFonts w:ascii="Cambria Math" w:hAnsi="Cambria Math" w:cs="Times New Roman"/>
            <w:noProof/>
          </w:rPr>
          <m:t>+</m:t>
        </m:r>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r>
              <m:rPr>
                <m:sty m:val="p"/>
              </m:rPr>
              <w:rPr>
                <w:rFonts w:ascii="Cambria Math" w:hAnsi="Cambria Math" w:cs="Times New Roman"/>
                <w:noProof/>
              </w:rPr>
              <m:t>4</m:t>
            </m:r>
            <m:sSup>
              <m:sSupPr>
                <m:ctrlPr>
                  <w:rPr>
                    <w:rFonts w:ascii="Cambria Math" w:hAnsi="Cambria Math" w:cs="Times New Roman"/>
                  </w:rPr>
                </m:ctrlPr>
              </m:sSupPr>
              <m:e>
                <m:r>
                  <w:rPr>
                    <w:rFonts w:ascii="Cambria Math" w:hAnsi="Cambria Math" w:cs="Times New Roman"/>
                    <w:noProof/>
                  </w:rPr>
                  <m:t>α</m:t>
                </m:r>
              </m:e>
              <m:sup>
                <m:r>
                  <m:rPr>
                    <m:sty m:val="p"/>
                  </m:rPr>
                  <w:rPr>
                    <w:rFonts w:ascii="Cambria Math" w:hAnsi="Cambria Math" w:cs="Times New Roman"/>
                    <w:noProof/>
                  </w:rPr>
                  <m:t>3</m:t>
                </m:r>
              </m:sup>
            </m:sSup>
          </m:den>
        </m:f>
        <m:sSup>
          <m:sSupPr>
            <m:ctrlPr>
              <w:rPr>
                <w:rFonts w:ascii="Cambria Math" w:hAnsi="Cambria Math" w:cs="Times New Roman"/>
              </w:rPr>
            </m:ctrlPr>
          </m:sSupPr>
          <m:e>
            <m:r>
              <w:rPr>
                <w:rFonts w:ascii="Cambria Math" w:hAnsi="Cambria Math" w:cs="Times New Roman"/>
                <w:noProof/>
              </w:rPr>
              <m:t>σ</m:t>
            </m:r>
          </m:e>
          <m:sup>
            <m:r>
              <m:rPr>
                <m:sty m:val="p"/>
              </m:rPr>
              <w:rPr>
                <w:rFonts w:ascii="Cambria Math" w:hAnsi="Cambria Math" w:cs="Times New Roman"/>
                <w:noProof/>
              </w:rPr>
              <m:t>2</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αT</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αt</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r>
              <w:rPr>
                <w:rFonts w:ascii="Cambria Math" w:hAnsi="Cambria Math" w:cs="Times New Roman"/>
                <w:noProof/>
              </w:rPr>
              <m:t>αt</m:t>
            </m:r>
          </m:sup>
        </m:sSup>
        <m:r>
          <m:rPr>
            <m:sty m:val="p"/>
          </m:rPr>
          <w:rPr>
            <w:rFonts w:ascii="Cambria Math" w:hAnsi="Cambria Math" w:cs="Times New Roman"/>
            <w:noProof/>
          </w:rPr>
          <m:t>-1)</m:t>
        </m:r>
      </m:oMath>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sup>
            </m:sSup>
          </m:num>
          <m:den>
            <m:r>
              <w:rPr>
                <w:rFonts w:ascii="Cambria Math" w:hAnsi="Cambria Math" w:cs="Times New Roman"/>
                <w:noProof/>
              </w:rPr>
              <m:t>α</m:t>
            </m:r>
          </m:den>
        </m:f>
        <m:r>
          <m:rPr>
            <m:sty m:val="p"/>
          </m:rPr>
          <w:rPr>
            <w:rFonts w:ascii="Cambria Math" w:hAnsi="Cambria Math" w:cs="Times New Roman"/>
            <w:noProof/>
          </w:rPr>
          <m:t>.</m:t>
        </m:r>
      </m:oMath>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The large number of simulations was made. The example of yield surfaces obtained in one interest rate simulation is p</w:t>
      </w:r>
      <w:r w:rsidR="000C105B">
        <w:rPr>
          <w:rFonts w:ascii="Times New Roman" w:hAnsi="Times New Roman" w:cs="Times New Roman"/>
          <w:noProof/>
        </w:rPr>
        <w:t>ossible to observe in the Fig.</w:t>
      </w:r>
      <w:r w:rsidRPr="00FC7EEF">
        <w:rPr>
          <w:rFonts w:ascii="Times New Roman" w:hAnsi="Times New Roman" w:cs="Times New Roman"/>
          <w:noProof/>
        </w:rPr>
        <w:t xml:space="preserve"> 3. </w:t>
      </w:r>
    </w:p>
    <w:p w:rsidR="003F6451" w:rsidRPr="00FC7EEF" w:rsidRDefault="001646E3"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lang w:val="en-US" w:eastAsia="en-US"/>
        </w:rPr>
        <w:lastRenderedPageBreak/>
        <w:drawing>
          <wp:inline distT="0" distB="0" distL="0" distR="0" wp14:anchorId="1C41F947" wp14:editId="2A04CF7F">
            <wp:extent cx="3771900" cy="2828925"/>
            <wp:effectExtent l="0" t="0" r="0" b="9525"/>
            <wp:docPr id="2" name="Obrázek 2" descr="C:\Users\175424\Dropbox\CVA\clanek_word\IMG\YieldCurveEv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424\Dropbox\CVA\clanek_word\IMG\YieldCurveEvoluti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3F6451" w:rsidRPr="00FC7EEF" w:rsidRDefault="007D5D7C"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 xml:space="preserve">Figure </w:t>
      </w:r>
      <w:r w:rsidR="003F6451" w:rsidRPr="00FC7EEF">
        <w:rPr>
          <w:rFonts w:ascii="Times New Roman" w:hAnsi="Times New Roman" w:cs="Times New Roman"/>
          <w:noProof/>
        </w:rPr>
        <w:t>3:  One Possible Scenario of Yield Curve Evolution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For each scenarios the swaps are priced at each future simulation date.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main advantage of the Hull-White model is that it can be fitted exactly to the initial term structure of interest rates.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D6158B"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7" w:name="GrindEQpgref5821e9907"/>
      <w:bookmarkEnd w:id="7"/>
      <w:r w:rsidRPr="00D6158B">
        <w:rPr>
          <w:rFonts w:ascii="Times New Roman" w:hAnsi="Times New Roman" w:cs="Times New Roman"/>
          <w:b/>
          <w:bCs/>
          <w:noProof/>
          <w:sz w:val="28"/>
          <w:szCs w:val="28"/>
        </w:rPr>
        <w:t>Probability of default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We assume that the wait time for default of a counterparty is a random variable </w:t>
      </w:r>
      <m:oMath>
        <m:r>
          <w:rPr>
            <w:rFonts w:ascii="Cambria Math" w:hAnsi="Cambria Math" w:cs="Times New Roman"/>
            <w:noProof/>
          </w:rPr>
          <m:t>X</m:t>
        </m:r>
      </m:oMath>
      <w:r w:rsidRPr="00FC7EEF">
        <w:rPr>
          <w:rFonts w:ascii="Times New Roman" w:hAnsi="Times New Roman" w:cs="Times New Roman"/>
          <w:noProof/>
        </w:rPr>
        <w:t xml:space="preserve"> with exponential distribution. Then the cumulative distribution function of this variable can be define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F</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λx</m:t>
                      </m:r>
                    </m:sup>
                  </m:sSup>
                  <m:r>
                    <m:rPr>
                      <m:sty m:val="p"/>
                    </m:rPr>
                    <w:rPr>
                      <w:rFonts w:ascii="Cambria Math" w:hAnsi="Cambria Math" w:cs="Times New Roman"/>
                      <w:noProof/>
                    </w:rPr>
                    <m:t>,</m:t>
                  </m:r>
                </m:e>
                <m:e>
                  <m:r>
                    <w:rPr>
                      <w:rFonts w:ascii="Cambria Math" w:hAnsi="Cambria Math" w:cs="Times New Roman"/>
                      <w:noProof/>
                    </w:rPr>
                    <m:t>x</m:t>
                  </m:r>
                  <m:r>
                    <m:rPr>
                      <m:sty m:val="p"/>
                    </m:rPr>
                    <w:rPr>
                      <w:rFonts w:ascii="Cambria Math" w:hAnsi="Cambria Math" w:cs="Times New Roman"/>
                      <w:noProof/>
                    </w:rPr>
                    <m:t>≥0</m:t>
                  </m:r>
                </m:e>
              </m:mr>
              <m:mr>
                <m:e>
                  <m:r>
                    <m:rPr>
                      <m:sty m:val="p"/>
                    </m:rPr>
                    <w:rPr>
                      <w:rFonts w:ascii="Cambria Math" w:hAnsi="Cambria Math" w:cs="Times New Roman"/>
                      <w:noProof/>
                    </w:rPr>
                    <m:t>0,</m:t>
                  </m:r>
                </m:e>
                <m:e>
                  <m:r>
                    <w:rPr>
                      <w:rFonts w:ascii="Cambria Math" w:hAnsi="Cambria Math" w:cs="Times New Roman"/>
                      <w:noProof/>
                    </w:rPr>
                    <m:t>x</m:t>
                  </m:r>
                  <m:r>
                    <m:rPr>
                      <m:sty m:val="p"/>
                    </m:rPr>
                    <w:rPr>
                      <w:rFonts w:ascii="Cambria Math" w:hAnsi="Cambria Math" w:cs="Times New Roman"/>
                      <w:noProof/>
                    </w:rPr>
                    <m:t>≤0</m:t>
                  </m:r>
                </m:e>
              </m:mr>
              <m:mr>
                <m:e/>
                <m:e/>
              </m:mr>
            </m:m>
          </m:e>
        </m:d>
      </m:oMath>
      <w:r w:rsidRPr="00FC7EEF">
        <w:rPr>
          <w:rFonts w:ascii="Times New Roman" w:hAnsi="Times New Roman" w:cs="Times New Roman"/>
          <w:noProof/>
        </w:rPr>
        <w:tab/>
        <w:t>(11)</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λ</m:t>
        </m:r>
        <m:r>
          <m:rPr>
            <m:sty m:val="p"/>
          </m:rPr>
          <w:rPr>
            <w:rFonts w:ascii="Cambria Math" w:hAnsi="Cambria Math" w:cs="Times New Roman"/>
            <w:noProof/>
          </w:rPr>
          <m:t>&gt;0</m:t>
        </m:r>
      </m:oMath>
      <w:r w:rsidRPr="00FC7EEF">
        <w:rPr>
          <w:rFonts w:ascii="Times New Roman" w:hAnsi="Times New Roman" w:cs="Times New Roman"/>
          <w:noProof/>
        </w:rPr>
        <w:t xml:space="preserve"> is the parameter of the distribution. Probability of default of the counterparty during one year we denote </w:t>
      </w:r>
      <m:oMath>
        <m:r>
          <w:rPr>
            <w:rFonts w:ascii="Cambria Math" w:hAnsi="Cambria Math" w:cs="Times New Roman"/>
            <w:noProof/>
          </w:rPr>
          <m:t>PD</m:t>
        </m:r>
      </m:oMath>
      <w:r w:rsidRPr="00FC7EEF">
        <w:rPr>
          <w:rFonts w:ascii="Times New Roman" w:hAnsi="Times New Roman" w:cs="Times New Roman"/>
          <w:noProof/>
        </w:rPr>
        <w:t xml:space="preserve">. Then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≤1)=1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m:t>
            </m:r>
          </m:sup>
        </m:sSup>
        <m:r>
          <m:rPr>
            <m:sty m:val="p"/>
          </m:rPr>
          <w:rPr>
            <w:rFonts w:ascii="Cambria Math" w:hAnsi="Cambria Math" w:cs="Times New Roman"/>
            <w:noProof/>
          </w:rPr>
          <m:t>.</m:t>
        </m:r>
      </m:oMath>
      <w:r w:rsidRPr="00FC7EEF">
        <w:rPr>
          <w:rFonts w:ascii="Times New Roman" w:hAnsi="Times New Roman" w:cs="Times New Roman"/>
          <w:noProof/>
        </w:rPr>
        <w:tab/>
        <w:t>(12)</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If we use value of PD from odkud bereme PD, Leni? </w:t>
      </w:r>
      <m:oMath>
        <m:r>
          <w:rPr>
            <w:rFonts w:ascii="Cambria Math" w:hAnsi="Cambria Math" w:cs="Times New Roman"/>
            <w:noProof/>
          </w:rPr>
          <m:t>λ</m:t>
        </m:r>
      </m:oMath>
      <w:r w:rsidRPr="00FC7EEF">
        <w:rPr>
          <w:rFonts w:ascii="Times New Roman" w:hAnsi="Times New Roman" w:cs="Times New Roman"/>
          <w:noProof/>
        </w:rPr>
        <w:t xml:space="preserve"> could be estimate from (12) </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PD</m:t>
        </m:r>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m:t>
            </m:r>
          </m:sup>
        </m:sSup>
      </m:oMath>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lastRenderedPageBreak/>
        <w:tab/>
      </w:r>
      <m:oMath>
        <m:r>
          <w:rPr>
            <w:rFonts w:ascii="Cambria Math" w:hAnsi="Cambria Math" w:cs="Times New Roman"/>
            <w:noProof/>
          </w:rPr>
          <m:t>λ</m:t>
        </m:r>
        <m:r>
          <m:rPr>
            <m:sty m:val="p"/>
          </m:rPr>
          <w:rPr>
            <w:rFonts w:ascii="Cambria Math" w:hAnsi="Cambria Math" w:cs="Times New Roman"/>
            <w:noProof/>
          </w:rPr>
          <m:t>=-ln(1-</m:t>
        </m:r>
        <m:r>
          <w:rPr>
            <w:rFonts w:ascii="Cambria Math" w:hAnsi="Cambria Math" w:cs="Times New Roman"/>
            <w:noProof/>
          </w:rPr>
          <m:t>PD</m:t>
        </m:r>
        <m:r>
          <m:rPr>
            <m:sty m:val="p"/>
          </m:rPr>
          <w:rPr>
            <w:rFonts w:ascii="Cambria Math" w:hAnsi="Cambria Math" w:cs="Times New Roman"/>
            <w:noProof/>
          </w:rPr>
          <m:t>).</m:t>
        </m:r>
      </m:oMath>
      <w:r w:rsidRPr="00FC7EEF">
        <w:rPr>
          <w:rFonts w:ascii="Times New Roman" w:hAnsi="Times New Roman" w:cs="Times New Roman"/>
          <w:noProof/>
        </w:rPr>
        <w:tab/>
        <w:t>(13)</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Then we can construct probability curve for each counterparty. It is possib</w:t>
      </w:r>
      <w:r w:rsidR="000C105B">
        <w:rPr>
          <w:rFonts w:ascii="Times New Roman" w:hAnsi="Times New Roman" w:cs="Times New Roman"/>
          <w:noProof/>
        </w:rPr>
        <w:t>le to observed them in the Fig.</w:t>
      </w:r>
      <w:r w:rsidRPr="00FC7EEF">
        <w:rPr>
          <w:rFonts w:ascii="Times New Roman" w:hAnsi="Times New Roman" w:cs="Times New Roman"/>
          <w:noProof/>
        </w:rPr>
        <w:t xml:space="preserve"> 4.</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1646E3"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lang w:val="en-US" w:eastAsia="en-US"/>
        </w:rPr>
        <w:drawing>
          <wp:inline distT="0" distB="0" distL="0" distR="0" wp14:anchorId="11173126" wp14:editId="41C54024">
            <wp:extent cx="3752850" cy="2814638"/>
            <wp:effectExtent l="0" t="0" r="0" b="5080"/>
            <wp:docPr id="3" name="Obrázek 3" descr="C:\Users\175424\Dropbox\CVA\clanek_word\IMG\DefaultProb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5424\Dropbox\CVA\clanek_word\IMG\DefaultProbabil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814638"/>
                    </a:xfrm>
                    <a:prstGeom prst="rect">
                      <a:avLst/>
                    </a:prstGeom>
                    <a:noFill/>
                    <a:ln>
                      <a:noFill/>
                    </a:ln>
                  </pic:spPr>
                </pic:pic>
              </a:graphicData>
            </a:graphic>
          </wp:inline>
        </w:drawing>
      </w:r>
    </w:p>
    <w:p w:rsidR="003F6451" w:rsidRPr="00FC7EEF" w:rsidRDefault="003F6451" w:rsidP="000C105B">
      <w:pPr>
        <w:tabs>
          <w:tab w:val="center" w:pos="4800"/>
          <w:tab w:val="right" w:pos="9500"/>
        </w:tabs>
        <w:spacing w:line="480" w:lineRule="auto"/>
        <w:ind w:firstLine="720"/>
        <w:jc w:val="center"/>
        <w:rPr>
          <w:rFonts w:ascii="Times New Roman" w:hAnsi="Times New Roman" w:cs="Times New Roman"/>
          <w:noProof/>
        </w:rPr>
      </w:pPr>
      <w:r w:rsidRPr="00FC7EEF">
        <w:rPr>
          <w:rFonts w:ascii="Times New Roman" w:hAnsi="Times New Roman" w:cs="Times New Roman"/>
          <w:noProof/>
        </w:rPr>
        <w:t>Figure 4: Default Probability Curves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D6158B"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8" w:name="GrindEQpgref5821e9908"/>
      <w:bookmarkEnd w:id="8"/>
      <w:r w:rsidRPr="00D6158B">
        <w:rPr>
          <w:rFonts w:ascii="Times New Roman" w:hAnsi="Times New Roman" w:cs="Times New Roman"/>
          <w:b/>
          <w:bCs/>
          <w:noProof/>
          <w:sz w:val="28"/>
          <w:szCs w:val="28"/>
        </w:rPr>
        <w:t>Computation of CVA</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Let consider the exposure is independent of default. Then total exposure of all contracts can be computed on the bases of equation (4). The bank has estimated recovery rate </w:t>
      </w:r>
      <m:oMath>
        <m:r>
          <w:rPr>
            <w:rFonts w:ascii="Cambria Math" w:hAnsi="Cambria Math" w:cs="Times New Roman"/>
            <w:noProof/>
          </w:rPr>
          <m:t>R</m:t>
        </m:r>
        <m:r>
          <m:rPr>
            <m:sty m:val="p"/>
          </m:rPr>
          <w:rPr>
            <w:rFonts w:ascii="Cambria Math" w:hAnsi="Cambria Math" w:cs="Times New Roman"/>
            <w:noProof/>
          </w:rPr>
          <m:t>=40%</m:t>
        </m:r>
      </m:oMath>
      <w:r w:rsidRPr="00FC7EEF">
        <w:rPr>
          <w:rFonts w:ascii="Times New Roman" w:hAnsi="Times New Roman" w:cs="Times New Roman"/>
          <w:noProof/>
        </w:rPr>
        <w:t xml:space="preserve">. </w:t>
      </w:r>
      <w:r w:rsidRPr="009476D7">
        <w:rPr>
          <w:rFonts w:ascii="Times New Roman" w:hAnsi="Times New Roman" w:cs="Times New Roman"/>
          <w:noProof/>
          <w:color w:val="FF0000"/>
        </w:rPr>
        <w:t xml:space="preserve"> </w:t>
      </w:r>
      <w:r w:rsidRPr="00FC7EEF">
        <w:rPr>
          <w:rFonts w:ascii="Times New Roman" w:hAnsi="Times New Roman" w:cs="Times New Roman"/>
          <w:noProof/>
        </w:rPr>
        <w:t>Now we have everything for the CVA calculation according to the equation (1). The resulting values of CVA for each counterpa</w:t>
      </w:r>
      <w:r w:rsidR="000C105B">
        <w:rPr>
          <w:rFonts w:ascii="Times New Roman" w:hAnsi="Times New Roman" w:cs="Times New Roman"/>
          <w:noProof/>
        </w:rPr>
        <w:t>rty can be observed in the Tab.</w:t>
      </w:r>
      <w:r w:rsidRPr="00FC7EEF">
        <w:rPr>
          <w:rFonts w:ascii="Times New Roman" w:hAnsi="Times New Roman" w:cs="Times New Roman"/>
          <w:noProof/>
        </w:rPr>
        <w:t xml:space="preserve"> </w:t>
      </w:r>
      <w:r w:rsidR="000C105B">
        <w:rPr>
          <w:rFonts w:ascii="Times New Roman" w:hAnsi="Times New Roman" w:cs="Times New Roman"/>
          <w:noProof/>
        </w:rPr>
        <w:t>III</w:t>
      </w:r>
      <w:r w:rsidRPr="00FC7EEF">
        <w:rPr>
          <w:rFonts w:ascii="Times New Roman" w:hAnsi="Times New Roman" w:cs="Times New Roman"/>
          <w:noProof/>
        </w:rPr>
        <w:t>.</w:t>
      </w:r>
    </w:p>
    <w:p w:rsidR="003F6451" w:rsidRDefault="003F6451" w:rsidP="007E3085">
      <w:pPr>
        <w:tabs>
          <w:tab w:val="center" w:pos="4800"/>
          <w:tab w:val="right" w:pos="9500"/>
        </w:tabs>
        <w:spacing w:line="480" w:lineRule="auto"/>
        <w:ind w:firstLine="720"/>
        <w:jc w:val="both"/>
        <w:rPr>
          <w:rFonts w:ascii="Times New Roman" w:hAnsi="Times New Roman" w:cs="Times New Roman"/>
          <w:noProof/>
        </w:rPr>
      </w:pPr>
    </w:p>
    <w:p w:rsidR="000C105B" w:rsidRPr="00FC7EEF" w:rsidRDefault="000C105B" w:rsidP="007E3085">
      <w:pPr>
        <w:tabs>
          <w:tab w:val="center" w:pos="4800"/>
          <w:tab w:val="right" w:pos="9500"/>
        </w:tabs>
        <w:spacing w:line="480" w:lineRule="auto"/>
        <w:ind w:firstLine="720"/>
        <w:jc w:val="both"/>
        <w:rPr>
          <w:rFonts w:ascii="Times New Roman" w:hAnsi="Times New Roman" w:cs="Times New Roman"/>
          <w:noProof/>
        </w:rPr>
      </w:pPr>
    </w:p>
    <w:tbl>
      <w:tblPr>
        <w:tblStyle w:val="LightShading"/>
        <w:tblW w:w="0" w:type="auto"/>
        <w:jc w:val="center"/>
        <w:tblLayout w:type="fixed"/>
        <w:tblLook w:val="0420" w:firstRow="1" w:lastRow="0" w:firstColumn="0" w:lastColumn="0" w:noHBand="0" w:noVBand="1"/>
      </w:tblPr>
      <w:tblGrid>
        <w:gridCol w:w="2381"/>
        <w:gridCol w:w="2381"/>
      </w:tblGrid>
      <w:tr w:rsidR="003F6451" w:rsidRPr="00FC7EEF"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FC7EEF" w:rsidRDefault="007D5D7C" w:rsidP="007D5D7C">
            <w:pPr>
              <w:tabs>
                <w:tab w:val="center" w:pos="4800"/>
                <w:tab w:val="right" w:pos="9500"/>
              </w:tabs>
              <w:spacing w:line="480" w:lineRule="auto"/>
              <w:jc w:val="center"/>
              <w:rPr>
                <w:rFonts w:ascii="Times New Roman" w:hAnsi="Times New Roman" w:cs="Times New Roman"/>
              </w:rPr>
            </w:pPr>
            <w:r>
              <w:rPr>
                <w:rFonts w:ascii="Times New Roman" w:hAnsi="Times New Roman" w:cs="Times New Roman"/>
              </w:rPr>
              <w:lastRenderedPageBreak/>
              <w:t>Coun</w:t>
            </w:r>
            <w:r w:rsidR="003F6451" w:rsidRPr="00FC7EEF">
              <w:rPr>
                <w:rFonts w:ascii="Times New Roman" w:hAnsi="Times New Roman" w:cs="Times New Roman"/>
              </w:rPr>
              <w:t>terparty</w:t>
            </w:r>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CVA (in CZK)</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1</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1 056 075.83</w:t>
            </w:r>
          </w:p>
        </w:tc>
      </w:tr>
      <w:tr w:rsidR="003F6451" w:rsidRPr="00FC7EEF" w:rsidTr="000C105B">
        <w:trPr>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2</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265 290.14</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3</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369.19</w:t>
            </w:r>
          </w:p>
        </w:tc>
      </w:tr>
      <w:tr w:rsidR="003F6451" w:rsidRPr="00FC7EEF" w:rsidTr="000C105B">
        <w:trPr>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4</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1 045.54</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5</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103 319.55</w:t>
            </w:r>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0C105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Table III</w:t>
      </w:r>
      <w:r w:rsidR="003F6451" w:rsidRPr="00FC7EEF">
        <w:rPr>
          <w:rFonts w:ascii="Times New Roman" w:hAnsi="Times New Roman" w:cs="Times New Roman"/>
          <w:noProof/>
        </w:rPr>
        <w:t>:</w:t>
      </w:r>
      <w:r>
        <w:rPr>
          <w:rFonts w:ascii="Times New Roman" w:hAnsi="Times New Roman" w:cs="Times New Roman"/>
          <w:noProof/>
        </w:rPr>
        <w:t xml:space="preserve"> </w:t>
      </w:r>
      <w:r w:rsidR="003F6451" w:rsidRPr="00FC7EEF">
        <w:rPr>
          <w:rFonts w:ascii="Times New Roman" w:hAnsi="Times New Roman" w:cs="Times New Roman"/>
          <w:noProof/>
        </w:rPr>
        <w:t xml:space="preserve"> Resulting CVA</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1B7CA5" w:rsidRDefault="001B7CA5"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D6158B">
        <w:rPr>
          <w:rFonts w:ascii="Times New Roman" w:hAnsi="Times New Roman" w:cs="Times New Roman"/>
          <w:b/>
          <w:bCs/>
          <w:noProof/>
          <w:sz w:val="32"/>
          <w:szCs w:val="32"/>
        </w:rPr>
        <w:t>References</w:t>
      </w:r>
      <w:r w:rsidRPr="00D6158B">
        <w:rPr>
          <w:rFonts w:ascii="Times New Roman" w:hAnsi="Times New Roman" w:cs="Times New Roman"/>
          <w:noProof/>
          <w:sz w:val="32"/>
          <w:szCs w:val="32"/>
        </w:rPr>
        <w:t xml:space="preserve"> </w:t>
      </w:r>
    </w:p>
    <w:p w:rsidR="003F6451" w:rsidRPr="006A0822" w:rsidRDefault="00552C9B" w:rsidP="00D6158B">
      <w:pPr>
        <w:tabs>
          <w:tab w:val="center" w:pos="4800"/>
          <w:tab w:val="right" w:pos="9500"/>
        </w:tabs>
        <w:spacing w:line="480" w:lineRule="auto"/>
        <w:jc w:val="both"/>
        <w:rPr>
          <w:rFonts w:ascii="Times New Roman" w:hAnsi="Times New Roman" w:cs="Times New Roman"/>
          <w:noProof/>
          <w:color w:val="00B050"/>
        </w:rPr>
      </w:pPr>
      <w:r>
        <w:rPr>
          <w:rFonts w:ascii="Times New Roman" w:hAnsi="Times New Roman" w:cs="Times New Roman"/>
          <w:noProof/>
          <w:color w:val="00B050"/>
        </w:rPr>
        <w:t>AR</w:t>
      </w:r>
      <w:r w:rsidR="003F6451" w:rsidRPr="006A0822">
        <w:rPr>
          <w:rFonts w:ascii="Times New Roman" w:hAnsi="Times New Roman" w:cs="Times New Roman"/>
          <w:noProof/>
          <w:color w:val="00B050"/>
        </w:rPr>
        <w:t xml:space="preserve">ORA, N., GANDHI, P. and LONGSTAFF, F. A. 2012. Counterparty credit risk and the credit default swap market. </w:t>
      </w:r>
      <w:r w:rsidR="003F6451" w:rsidRPr="006A0822">
        <w:rPr>
          <w:rFonts w:ascii="Times New Roman" w:hAnsi="Times New Roman" w:cs="Times New Roman"/>
          <w:i/>
          <w:iCs/>
          <w:noProof/>
          <w:color w:val="00B050"/>
        </w:rPr>
        <w:t>Journal of Financial Economics</w:t>
      </w:r>
      <w:r w:rsidR="00D6158B" w:rsidRPr="006A0822">
        <w:rPr>
          <w:rFonts w:ascii="Times New Roman" w:hAnsi="Times New Roman" w:cs="Times New Roman"/>
          <w:noProof/>
          <w:color w:val="00B050"/>
        </w:rPr>
        <w:t>, 103(2):280-</w:t>
      </w:r>
      <w:r w:rsidR="003F6451" w:rsidRPr="006A0822">
        <w:rPr>
          <w:rFonts w:ascii="Times New Roman" w:hAnsi="Times New Roman" w:cs="Times New Roman"/>
          <w:noProof/>
          <w:color w:val="00B050"/>
        </w:rPr>
        <w:t>293.</w:t>
      </w:r>
    </w:p>
    <w:p w:rsidR="00D6158B" w:rsidRPr="006A0822" w:rsidRDefault="00D6158B" w:rsidP="00D6158B">
      <w:pPr>
        <w:tabs>
          <w:tab w:val="center" w:pos="4800"/>
          <w:tab w:val="right" w:pos="9500"/>
        </w:tabs>
        <w:spacing w:line="480" w:lineRule="auto"/>
        <w:jc w:val="both"/>
        <w:rPr>
          <w:rFonts w:ascii="Times New Roman" w:hAnsi="Times New Roman" w:cs="Times New Roman"/>
          <w:noProof/>
          <w:color w:val="00B050"/>
        </w:rPr>
      </w:pPr>
    </w:p>
    <w:p w:rsidR="00D6158B" w:rsidRPr="006A0822" w:rsidRDefault="003F6451" w:rsidP="00D6158B">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 xml:space="preserve">BOUCHAUD, J.-P. and POTTERS, M. 2003. </w:t>
      </w:r>
      <w:r w:rsidRPr="006A0822">
        <w:rPr>
          <w:rFonts w:ascii="Times New Roman" w:hAnsi="Times New Roman" w:cs="Times New Roman"/>
          <w:i/>
          <w:iCs/>
          <w:noProof/>
          <w:color w:val="00B050"/>
        </w:rPr>
        <w:t>Theory of financial risk and derivative pricing: from statistical physics to risk management</w:t>
      </w:r>
      <w:r w:rsidRPr="006A0822">
        <w:rPr>
          <w:rFonts w:ascii="Times New Roman" w:hAnsi="Times New Roman" w:cs="Times New Roman"/>
          <w:noProof/>
          <w:color w:val="00B050"/>
        </w:rPr>
        <w:t xml:space="preserve">. </w:t>
      </w:r>
      <m:oMath>
        <m:sSup>
          <m:sSupPr>
            <m:ctrlPr>
              <w:rPr>
                <w:rFonts w:ascii="Cambria Math" w:hAnsi="Cambria Math" w:cs="Times New Roman"/>
                <w:color w:val="00B050"/>
              </w:rPr>
            </m:ctrlPr>
          </m:sSupPr>
          <m:e>
            <m:r>
              <m:rPr>
                <m:sty m:val="p"/>
              </m:rPr>
              <w:rPr>
                <w:rFonts w:ascii="Cambria Math" w:hAnsi="Cambria Math" w:cs="Times New Roman"/>
                <w:noProof/>
                <w:color w:val="00B050"/>
              </w:rPr>
              <m:t>2</m:t>
            </m:r>
          </m:e>
          <m:sup>
            <m:r>
              <w:rPr>
                <w:rFonts w:ascii="Cambria Math" w:hAnsi="Cambria Math" w:cs="Times New Roman"/>
                <w:noProof/>
                <w:color w:val="00B050"/>
              </w:rPr>
              <m:t>nd</m:t>
            </m:r>
          </m:sup>
        </m:sSup>
      </m:oMath>
      <w:r w:rsidRPr="006A0822">
        <w:rPr>
          <w:rFonts w:ascii="Times New Roman" w:hAnsi="Times New Roman" w:cs="Times New Roman"/>
          <w:noProof/>
          <w:color w:val="00B050"/>
        </w:rPr>
        <w:t xml:space="preserve"> edition. Cambridge: Cambridge University Press. </w:t>
      </w:r>
    </w:p>
    <w:p w:rsidR="00D6158B" w:rsidRPr="00552C9B" w:rsidRDefault="00D6158B" w:rsidP="00D6158B">
      <w:pPr>
        <w:tabs>
          <w:tab w:val="center" w:pos="4800"/>
          <w:tab w:val="right" w:pos="9500"/>
        </w:tabs>
        <w:spacing w:line="480" w:lineRule="auto"/>
        <w:jc w:val="both"/>
        <w:rPr>
          <w:rFonts w:ascii="Times New Roman" w:hAnsi="Times New Roman" w:cs="Times New Roman"/>
          <w:noProof/>
        </w:rPr>
      </w:pPr>
    </w:p>
    <w:p w:rsidR="003F6451" w:rsidRPr="00552C9B" w:rsidRDefault="003F6451" w:rsidP="00D6158B">
      <w:pPr>
        <w:tabs>
          <w:tab w:val="center" w:pos="4800"/>
          <w:tab w:val="right" w:pos="9500"/>
        </w:tabs>
        <w:spacing w:line="480" w:lineRule="auto"/>
        <w:jc w:val="both"/>
        <w:rPr>
          <w:rFonts w:ascii="Times New Roman" w:hAnsi="Times New Roman" w:cs="Times New Roman"/>
          <w:noProof/>
        </w:rPr>
      </w:pPr>
      <w:r w:rsidRPr="00552C9B">
        <w:rPr>
          <w:rFonts w:ascii="Times New Roman" w:hAnsi="Times New Roman" w:cs="Times New Roman"/>
          <w:noProof/>
        </w:rPr>
        <w:t xml:space="preserve">BRIGO, D., CAPPONI, A. and PALLAVICINI, A. 2014. Arbitrage-free bilateral counterparty risk valuation under collateralization and application to credit default swaps. </w:t>
      </w:r>
      <w:r w:rsidRPr="00552C9B">
        <w:rPr>
          <w:rFonts w:ascii="Times New Roman" w:hAnsi="Times New Roman" w:cs="Times New Roman"/>
          <w:i/>
          <w:iCs/>
          <w:noProof/>
        </w:rPr>
        <w:t>Mathematical Finance</w:t>
      </w:r>
      <w:r w:rsidRPr="00552C9B">
        <w:rPr>
          <w:rFonts w:ascii="Times New Roman" w:hAnsi="Times New Roman" w:cs="Times New Roman"/>
          <w:noProof/>
        </w:rPr>
        <w:t>, 24(1):125--146.</w:t>
      </w:r>
    </w:p>
    <w:p w:rsidR="00D6158B" w:rsidRPr="00552C9B" w:rsidRDefault="00D6158B" w:rsidP="00D6158B">
      <w:pPr>
        <w:tabs>
          <w:tab w:val="center" w:pos="4800"/>
          <w:tab w:val="right" w:pos="9500"/>
        </w:tabs>
        <w:spacing w:line="480" w:lineRule="auto"/>
        <w:jc w:val="both"/>
        <w:rPr>
          <w:rFonts w:ascii="Times New Roman" w:hAnsi="Times New Roman" w:cs="Times New Roman"/>
          <w:noProof/>
        </w:rPr>
      </w:pPr>
    </w:p>
    <w:p w:rsidR="00D6158B" w:rsidRPr="006A0822" w:rsidRDefault="003F6451" w:rsidP="00D6158B">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CANABARRO</w:t>
      </w:r>
      <w:r w:rsidR="00744CD8" w:rsidRPr="006A0822">
        <w:rPr>
          <w:rFonts w:ascii="Times New Roman" w:hAnsi="Times New Roman" w:cs="Times New Roman"/>
          <w:noProof/>
          <w:color w:val="00B050"/>
        </w:rPr>
        <w:t>,</w:t>
      </w:r>
      <w:r w:rsidRPr="006A0822">
        <w:rPr>
          <w:rFonts w:ascii="Times New Roman" w:hAnsi="Times New Roman" w:cs="Times New Roman"/>
          <w:noProof/>
          <w:color w:val="00B050"/>
        </w:rPr>
        <w:t xml:space="preserve"> E. and DUFFIE</w:t>
      </w:r>
      <w:r w:rsidR="00744CD8" w:rsidRPr="006A0822">
        <w:rPr>
          <w:rFonts w:ascii="Times New Roman" w:hAnsi="Times New Roman" w:cs="Times New Roman"/>
          <w:noProof/>
          <w:color w:val="00B050"/>
        </w:rPr>
        <w:t>,</w:t>
      </w:r>
      <w:r w:rsidRPr="006A0822">
        <w:rPr>
          <w:rFonts w:ascii="Times New Roman" w:hAnsi="Times New Roman" w:cs="Times New Roman"/>
          <w:noProof/>
          <w:color w:val="00B050"/>
        </w:rPr>
        <w:t xml:space="preserve"> D. 2003. Measuring and marking counterparty risk. </w:t>
      </w:r>
      <w:r w:rsidRPr="006A0822">
        <w:rPr>
          <w:rFonts w:ascii="Times New Roman" w:hAnsi="Times New Roman" w:cs="Times New Roman"/>
          <w:i/>
          <w:iCs/>
          <w:noProof/>
          <w:color w:val="00B050"/>
        </w:rPr>
        <w:t>Asset/Liability Management for Financial Institutions, Institutional Investor Books</w:t>
      </w:r>
      <w:r w:rsidRPr="006A0822">
        <w:rPr>
          <w:rFonts w:ascii="Times New Roman" w:hAnsi="Times New Roman" w:cs="Times New Roman"/>
          <w:noProof/>
          <w:color w:val="00B050"/>
        </w:rPr>
        <w:t>.</w:t>
      </w:r>
      <w:r w:rsidR="005B2603" w:rsidRPr="006A0822">
        <w:rPr>
          <w:rFonts w:ascii="Times New Roman" w:hAnsi="Times New Roman" w:cs="Times New Roman"/>
          <w:noProof/>
          <w:color w:val="00B050"/>
        </w:rPr>
        <w:t xml:space="preserve"> </w:t>
      </w:r>
      <w:r w:rsidR="00F75ED9" w:rsidRPr="006A0822">
        <w:rPr>
          <w:rFonts w:ascii="Times New Roman" w:hAnsi="Times New Roman" w:cs="Times New Roman"/>
          <w:noProof/>
          <w:color w:val="00B050"/>
        </w:rPr>
        <w:t xml:space="preserve">Euromoney </w:t>
      </w:r>
      <w:r w:rsidR="00F75ED9" w:rsidRPr="006A0822">
        <w:rPr>
          <w:rFonts w:ascii="Times New Roman" w:hAnsi="Times New Roman" w:cs="Times New Roman"/>
          <w:noProof/>
          <w:color w:val="00B050"/>
        </w:rPr>
        <w:lastRenderedPageBreak/>
        <w:t xml:space="preserve">Institutional Investor PLC. </w:t>
      </w:r>
      <w:r w:rsidR="005B2603" w:rsidRPr="006A0822">
        <w:rPr>
          <w:rFonts w:ascii="Times New Roman" w:hAnsi="Times New Roman" w:cs="Times New Roman"/>
          <w:noProof/>
          <w:color w:val="00B050"/>
        </w:rPr>
        <w:t xml:space="preserve">[Online]. Available at: </w:t>
      </w:r>
      <w:r w:rsidR="008930A3" w:rsidRPr="006A0822">
        <w:rPr>
          <w:rFonts w:ascii="Times New Roman" w:hAnsi="Times New Roman" w:cs="Times New Roman"/>
          <w:noProof/>
          <w:color w:val="00B050"/>
        </w:rPr>
        <w:t>http://www.darrellduffie.com/uploads/surveys/duffiecanabarro2004.pdf. [Accessed: 2016, November 10]</w:t>
      </w:r>
    </w:p>
    <w:p w:rsidR="00744CD8" w:rsidRPr="006A0822" w:rsidRDefault="00744CD8" w:rsidP="00D6158B">
      <w:pPr>
        <w:tabs>
          <w:tab w:val="center" w:pos="4800"/>
          <w:tab w:val="right" w:pos="9500"/>
        </w:tabs>
        <w:spacing w:line="480" w:lineRule="auto"/>
        <w:jc w:val="both"/>
        <w:rPr>
          <w:rFonts w:ascii="Times New Roman" w:hAnsi="Times New Roman" w:cs="Times New Roman"/>
          <w:noProof/>
          <w:color w:val="00B050"/>
        </w:rPr>
      </w:pPr>
    </w:p>
    <w:p w:rsidR="003F6451" w:rsidRPr="006A0822" w:rsidRDefault="00F75ED9" w:rsidP="00744CD8">
      <w:pPr>
        <w:rPr>
          <w:rFonts w:ascii="Times New Roman" w:eastAsia="Times New Roman" w:hAnsi="Times New Roman" w:cs="Times New Roman"/>
          <w:color w:val="00B050"/>
        </w:rPr>
      </w:pPr>
      <w:r w:rsidRPr="006A0822">
        <w:rPr>
          <w:rFonts w:ascii="Times New Roman" w:hAnsi="Times New Roman" w:cs="Times New Roman"/>
          <w:noProof/>
          <w:color w:val="00B050"/>
        </w:rPr>
        <w:t>DUFFIE</w:t>
      </w:r>
      <w:r w:rsidR="00744CD8" w:rsidRPr="006A0822">
        <w:rPr>
          <w:rFonts w:ascii="Times New Roman" w:hAnsi="Times New Roman" w:cs="Times New Roman"/>
          <w:noProof/>
          <w:color w:val="00B050"/>
        </w:rPr>
        <w:t>,</w:t>
      </w:r>
      <w:r w:rsidRPr="006A0822">
        <w:rPr>
          <w:rFonts w:ascii="Times New Roman" w:hAnsi="Times New Roman" w:cs="Times New Roman"/>
          <w:noProof/>
          <w:color w:val="00B050"/>
        </w:rPr>
        <w:t xml:space="preserve"> D. 2003. </w:t>
      </w:r>
      <w:r w:rsidR="003F6451" w:rsidRPr="006A0822">
        <w:rPr>
          <w:rFonts w:ascii="Times New Roman" w:hAnsi="Times New Roman" w:cs="Times New Roman"/>
          <w:iCs/>
          <w:noProof/>
          <w:color w:val="00B050"/>
        </w:rPr>
        <w:t>Intertemporal asset pricing theory</w:t>
      </w:r>
      <w:r w:rsidRPr="006A0822">
        <w:rPr>
          <w:rFonts w:ascii="Times New Roman" w:hAnsi="Times New Roman" w:cs="Times New Roman"/>
          <w:noProof/>
          <w:color w:val="00B050"/>
        </w:rPr>
        <w:t xml:space="preserve">. </w:t>
      </w:r>
      <w:r w:rsidRPr="006A0822">
        <w:rPr>
          <w:rFonts w:ascii="Times New Roman" w:eastAsia="Times New Roman" w:hAnsi="Times New Roman" w:cs="Times New Roman"/>
          <w:i/>
          <w:iCs/>
          <w:color w:val="00B050"/>
        </w:rPr>
        <w:t>Handbook of the Economics of Finance</w:t>
      </w:r>
      <w:r w:rsidRPr="006A0822">
        <w:rPr>
          <w:rFonts w:ascii="Times New Roman" w:eastAsia="Times New Roman" w:hAnsi="Times New Roman" w:cs="Times New Roman"/>
          <w:color w:val="00B050"/>
        </w:rPr>
        <w:t xml:space="preserve">, </w:t>
      </w:r>
      <w:r w:rsidRPr="006A0822">
        <w:rPr>
          <w:rFonts w:ascii="Times New Roman" w:eastAsia="Times New Roman" w:hAnsi="Times New Roman" w:cs="Times New Roman"/>
          <w:i/>
          <w:iCs/>
          <w:color w:val="00B050"/>
        </w:rPr>
        <w:t>1(2)</w:t>
      </w:r>
      <w:r w:rsidRPr="006A0822">
        <w:rPr>
          <w:rFonts w:ascii="Times New Roman" w:eastAsia="Times New Roman" w:hAnsi="Times New Roman" w:cs="Times New Roman"/>
          <w:color w:val="00B050"/>
        </w:rPr>
        <w:t>:</w:t>
      </w:r>
      <w:r w:rsidR="00744CD8" w:rsidRPr="006A0822">
        <w:rPr>
          <w:rFonts w:ascii="Times New Roman" w:eastAsia="Times New Roman" w:hAnsi="Times New Roman" w:cs="Times New Roman"/>
          <w:color w:val="00B050"/>
        </w:rPr>
        <w:t xml:space="preserve"> 639-742.</w:t>
      </w:r>
    </w:p>
    <w:p w:rsidR="00744CD8" w:rsidRPr="006A0822" w:rsidRDefault="00744CD8" w:rsidP="00744CD8">
      <w:pPr>
        <w:rPr>
          <w:rFonts w:ascii="Times New Roman" w:eastAsia="Times New Roman" w:hAnsi="Times New Roman" w:cs="Times New Roman"/>
          <w:color w:val="00B050"/>
        </w:rPr>
      </w:pPr>
    </w:p>
    <w:p w:rsidR="00744CD8" w:rsidRPr="006A0822" w:rsidRDefault="00744CD8" w:rsidP="00744CD8">
      <w:pPr>
        <w:rPr>
          <w:rFonts w:ascii="Times New Roman" w:hAnsi="Times New Roman" w:cs="Times New Roman"/>
          <w:noProof/>
          <w:color w:val="00B050"/>
        </w:rPr>
      </w:pPr>
    </w:p>
    <w:p w:rsidR="003F6451" w:rsidRPr="006A0822" w:rsidRDefault="00744CD8" w:rsidP="00D6158B">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 xml:space="preserve">ETHERIDGE, </w:t>
      </w:r>
      <w:r w:rsidR="003F6451" w:rsidRPr="006A0822">
        <w:rPr>
          <w:rFonts w:ascii="Times New Roman" w:hAnsi="Times New Roman" w:cs="Times New Roman"/>
          <w:noProof/>
          <w:color w:val="00B050"/>
        </w:rPr>
        <w:t xml:space="preserve">A. </w:t>
      </w:r>
      <w:r w:rsidRPr="006A0822">
        <w:rPr>
          <w:rFonts w:ascii="Times New Roman" w:hAnsi="Times New Roman" w:cs="Times New Roman"/>
          <w:noProof/>
          <w:color w:val="00B050"/>
        </w:rPr>
        <w:t xml:space="preserve"> 2002. </w:t>
      </w:r>
      <w:r w:rsidR="003F6451" w:rsidRPr="006A0822">
        <w:rPr>
          <w:rFonts w:ascii="Times New Roman" w:hAnsi="Times New Roman" w:cs="Times New Roman"/>
          <w:i/>
          <w:iCs/>
          <w:noProof/>
          <w:color w:val="00B050"/>
        </w:rPr>
        <w:t>A course in financial calculus</w:t>
      </w:r>
      <w:r w:rsidR="003F6451" w:rsidRPr="006A0822">
        <w:rPr>
          <w:rFonts w:ascii="Times New Roman" w:hAnsi="Times New Roman" w:cs="Times New Roman"/>
          <w:noProof/>
          <w:color w:val="00B050"/>
        </w:rPr>
        <w:t xml:space="preserve">. </w:t>
      </w:r>
      <w:r w:rsidRPr="006A0822">
        <w:rPr>
          <w:rFonts w:ascii="Times New Roman" w:hAnsi="Times New Roman" w:cs="Times New Roman"/>
          <w:noProof/>
          <w:color w:val="00B050"/>
        </w:rPr>
        <w:t>New York:</w:t>
      </w:r>
      <w:r w:rsidR="003F6451" w:rsidRPr="006A0822">
        <w:rPr>
          <w:rFonts w:ascii="Times New Roman" w:hAnsi="Times New Roman" w:cs="Times New Roman"/>
          <w:noProof/>
          <w:color w:val="00B050"/>
        </w:rPr>
        <w:t xml:space="preserve"> Cambridge Univ</w:t>
      </w:r>
      <w:r w:rsidRPr="006A0822">
        <w:rPr>
          <w:rFonts w:ascii="Times New Roman" w:hAnsi="Times New Roman" w:cs="Times New Roman"/>
          <w:noProof/>
          <w:color w:val="00B050"/>
        </w:rPr>
        <w:t>ersity Press.</w:t>
      </w:r>
    </w:p>
    <w:p w:rsidR="003F6451" w:rsidRPr="006A0822"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744CD8" w:rsidP="00D6158B">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 xml:space="preserve">GREGORY, </w:t>
      </w:r>
      <w:r w:rsidR="003F6451" w:rsidRPr="00FC7EEF">
        <w:rPr>
          <w:rFonts w:ascii="Times New Roman" w:hAnsi="Times New Roman" w:cs="Times New Roman"/>
          <w:noProof/>
        </w:rPr>
        <w:t xml:space="preserve">J. </w:t>
      </w:r>
      <w:r>
        <w:rPr>
          <w:rFonts w:ascii="Times New Roman" w:hAnsi="Times New Roman" w:cs="Times New Roman"/>
          <w:noProof/>
        </w:rPr>
        <w:t>2010.</w:t>
      </w:r>
      <w:r w:rsidR="003F6451" w:rsidRPr="00FC7EEF">
        <w:rPr>
          <w:rFonts w:ascii="Times New Roman" w:hAnsi="Times New Roman" w:cs="Times New Roman"/>
          <w:i/>
          <w:iCs/>
          <w:noProof/>
        </w:rPr>
        <w:t xml:space="preserve"> Counterparty credit risk: the new challenge for global financial markets</w:t>
      </w:r>
      <w:r w:rsidR="003F6451" w:rsidRPr="00FC7EEF">
        <w:rPr>
          <w:rFonts w:ascii="Times New Roman" w:hAnsi="Times New Roman" w:cs="Times New Roman"/>
          <w:noProof/>
        </w:rPr>
        <w:t xml:space="preserve">, </w:t>
      </w:r>
      <w:r w:rsidR="00775F08">
        <w:rPr>
          <w:rFonts w:ascii="Times New Roman" w:hAnsi="Times New Roman" w:cs="Times New Roman"/>
          <w:noProof/>
        </w:rPr>
        <w:t xml:space="preserve">West Sussex: </w:t>
      </w:r>
      <w:r w:rsidR="003F6451" w:rsidRPr="00FC7EEF">
        <w:rPr>
          <w:rFonts w:ascii="Times New Roman" w:hAnsi="Times New Roman" w:cs="Times New Roman"/>
          <w:noProof/>
        </w:rPr>
        <w:t>John Wiley &amp; Sons</w:t>
      </w:r>
      <w:r w:rsidR="00BE010F">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6A0822" w:rsidRDefault="00BE010F" w:rsidP="00BE010F">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 xml:space="preserve">HULL, </w:t>
      </w:r>
      <w:r w:rsidR="003F6451" w:rsidRPr="006A0822">
        <w:rPr>
          <w:rFonts w:ascii="Times New Roman" w:hAnsi="Times New Roman" w:cs="Times New Roman"/>
          <w:noProof/>
          <w:color w:val="00B050"/>
        </w:rPr>
        <w:t>J.</w:t>
      </w:r>
      <w:r w:rsidRPr="006A0822">
        <w:rPr>
          <w:rFonts w:ascii="Times New Roman" w:hAnsi="Times New Roman" w:cs="Times New Roman"/>
          <w:noProof/>
          <w:color w:val="00B050"/>
        </w:rPr>
        <w:t xml:space="preserve"> 2012 </w:t>
      </w:r>
      <w:r w:rsidR="003F6451" w:rsidRPr="006A0822">
        <w:rPr>
          <w:rFonts w:ascii="Times New Roman" w:hAnsi="Times New Roman" w:cs="Times New Roman"/>
          <w:i/>
          <w:iCs/>
          <w:noProof/>
          <w:color w:val="00B050"/>
        </w:rPr>
        <w:t>Options, futures, and other derivatives (8. ed., global ed.)</w:t>
      </w:r>
      <w:r w:rsidRPr="006A0822">
        <w:rPr>
          <w:rFonts w:ascii="Times New Roman" w:hAnsi="Times New Roman" w:cs="Times New Roman"/>
          <w:noProof/>
          <w:color w:val="00B050"/>
        </w:rPr>
        <w:t>. Boston [u.a.] : Pearson.</w:t>
      </w:r>
    </w:p>
    <w:p w:rsidR="00BE010F" w:rsidRPr="00FC7EEF" w:rsidRDefault="00BE010F" w:rsidP="00BE010F">
      <w:pPr>
        <w:tabs>
          <w:tab w:val="center" w:pos="4800"/>
          <w:tab w:val="right" w:pos="9500"/>
        </w:tabs>
        <w:spacing w:line="480" w:lineRule="auto"/>
        <w:jc w:val="both"/>
        <w:rPr>
          <w:rFonts w:ascii="Times New Roman" w:hAnsi="Times New Roman" w:cs="Times New Roman"/>
          <w:noProof/>
        </w:rPr>
      </w:pPr>
    </w:p>
    <w:p w:rsidR="003F6451" w:rsidRPr="00FC7EEF" w:rsidRDefault="00BE010F" w:rsidP="00D6158B">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 xml:space="preserve">HULL, </w:t>
      </w:r>
      <w:r w:rsidR="003F6451" w:rsidRPr="00FC7EEF">
        <w:rPr>
          <w:rFonts w:ascii="Times New Roman" w:hAnsi="Times New Roman" w:cs="Times New Roman"/>
          <w:noProof/>
        </w:rPr>
        <w:t>J.</w:t>
      </w:r>
      <w:r>
        <w:rPr>
          <w:rFonts w:ascii="Times New Roman" w:hAnsi="Times New Roman" w:cs="Times New Roman"/>
          <w:noProof/>
        </w:rPr>
        <w:t xml:space="preserve"> and</w:t>
      </w:r>
      <w:r w:rsidR="003F6451" w:rsidRPr="00FC7EEF">
        <w:rPr>
          <w:rFonts w:ascii="Times New Roman" w:hAnsi="Times New Roman" w:cs="Times New Roman"/>
          <w:noProof/>
        </w:rPr>
        <w:t xml:space="preserve"> W</w:t>
      </w:r>
      <w:r>
        <w:rPr>
          <w:rFonts w:ascii="Times New Roman" w:hAnsi="Times New Roman" w:cs="Times New Roman"/>
          <w:noProof/>
        </w:rPr>
        <w:t>HITE, A. 1990.</w:t>
      </w:r>
      <w:r w:rsidR="003F6451" w:rsidRPr="00FC7EEF">
        <w:rPr>
          <w:rFonts w:ascii="Times New Roman" w:hAnsi="Times New Roman" w:cs="Times New Roman"/>
          <w:noProof/>
        </w:rPr>
        <w:t xml:space="preserve"> Pricing intere</w:t>
      </w:r>
      <w:r>
        <w:rPr>
          <w:rFonts w:ascii="Times New Roman" w:hAnsi="Times New Roman" w:cs="Times New Roman"/>
          <w:noProof/>
        </w:rPr>
        <w:t>st-rate-derivative securities.</w:t>
      </w:r>
      <w:r w:rsidR="003F6451" w:rsidRPr="00FC7EEF">
        <w:rPr>
          <w:rFonts w:ascii="Times New Roman" w:hAnsi="Times New Roman" w:cs="Times New Roman"/>
          <w:i/>
          <w:iCs/>
          <w:noProof/>
        </w:rPr>
        <w:t xml:space="preserve"> Review of financial studies</w:t>
      </w:r>
      <w:r>
        <w:rPr>
          <w:rFonts w:ascii="Times New Roman" w:hAnsi="Times New Roman" w:cs="Times New Roman"/>
          <w:noProof/>
        </w:rPr>
        <w:t>, 3(4): 573-</w:t>
      </w:r>
      <w:r w:rsidR="003F6451" w:rsidRPr="00FC7EEF">
        <w:rPr>
          <w:rFonts w:ascii="Times New Roman" w:hAnsi="Times New Roman" w:cs="Times New Roman"/>
          <w:noProof/>
        </w:rPr>
        <w:t>592</w:t>
      </w:r>
      <w:r>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Default="00BE010F" w:rsidP="00D6158B">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 xml:space="preserve">HULL, </w:t>
      </w:r>
      <w:r w:rsidRPr="00FC7EEF">
        <w:rPr>
          <w:rFonts w:ascii="Times New Roman" w:hAnsi="Times New Roman" w:cs="Times New Roman"/>
          <w:noProof/>
        </w:rPr>
        <w:t>J.</w:t>
      </w:r>
      <w:r>
        <w:rPr>
          <w:rFonts w:ascii="Times New Roman" w:hAnsi="Times New Roman" w:cs="Times New Roman"/>
          <w:noProof/>
        </w:rPr>
        <w:t xml:space="preserve"> and</w:t>
      </w:r>
      <w:r w:rsidRPr="00FC7EEF">
        <w:rPr>
          <w:rFonts w:ascii="Times New Roman" w:hAnsi="Times New Roman" w:cs="Times New Roman"/>
          <w:noProof/>
        </w:rPr>
        <w:t xml:space="preserve"> W</w:t>
      </w:r>
      <w:r>
        <w:rPr>
          <w:rFonts w:ascii="Times New Roman" w:hAnsi="Times New Roman" w:cs="Times New Roman"/>
          <w:noProof/>
        </w:rPr>
        <w:t>HITE, A. 2001</w:t>
      </w:r>
      <w:r w:rsidR="009642DD">
        <w:rPr>
          <w:rFonts w:ascii="Times New Roman" w:hAnsi="Times New Roman" w:cs="Times New Roman"/>
          <w:noProof/>
        </w:rPr>
        <w:t>.</w:t>
      </w:r>
      <w:r>
        <w:rPr>
          <w:rFonts w:ascii="Times New Roman" w:hAnsi="Times New Roman" w:cs="Times New Roman"/>
          <w:noProof/>
        </w:rPr>
        <w:t xml:space="preserve"> </w:t>
      </w:r>
      <w:r w:rsidR="003F6451" w:rsidRPr="00FC7EEF">
        <w:rPr>
          <w:rFonts w:ascii="Times New Roman" w:hAnsi="Times New Roman" w:cs="Times New Roman"/>
          <w:noProof/>
        </w:rPr>
        <w:t>The general hull-whi</w:t>
      </w:r>
      <w:r>
        <w:rPr>
          <w:rFonts w:ascii="Times New Roman" w:hAnsi="Times New Roman" w:cs="Times New Roman"/>
          <w:noProof/>
        </w:rPr>
        <w:t xml:space="preserve">te model and supercalibration. </w:t>
      </w:r>
      <w:r w:rsidR="003F6451" w:rsidRPr="00FC7EEF">
        <w:rPr>
          <w:rFonts w:ascii="Times New Roman" w:hAnsi="Times New Roman" w:cs="Times New Roman"/>
          <w:i/>
          <w:iCs/>
          <w:noProof/>
        </w:rPr>
        <w:t>Financial Analysts Journal</w:t>
      </w:r>
      <w:r w:rsidR="003F6451" w:rsidRPr="00FC7EEF">
        <w:rPr>
          <w:rFonts w:ascii="Times New Roman" w:hAnsi="Times New Roman" w:cs="Times New Roman"/>
          <w:noProof/>
        </w:rPr>
        <w:t>, 57(6):</w:t>
      </w:r>
      <w:r w:rsidR="009642DD">
        <w:rPr>
          <w:rFonts w:ascii="Times New Roman" w:hAnsi="Times New Roman" w:cs="Times New Roman"/>
          <w:noProof/>
        </w:rPr>
        <w:t xml:space="preserve"> </w:t>
      </w:r>
      <w:r w:rsidR="003F6451" w:rsidRPr="00FC7EEF">
        <w:rPr>
          <w:rFonts w:ascii="Times New Roman" w:hAnsi="Times New Roman" w:cs="Times New Roman"/>
          <w:noProof/>
        </w:rPr>
        <w:t>34</w:t>
      </w:r>
      <w:r w:rsidR="009642DD">
        <w:rPr>
          <w:rFonts w:ascii="Times New Roman" w:hAnsi="Times New Roman" w:cs="Times New Roman"/>
          <w:noProof/>
        </w:rPr>
        <w:t>-</w:t>
      </w:r>
      <w:r w:rsidR="003F6451" w:rsidRPr="00FC7EEF">
        <w:rPr>
          <w:rFonts w:ascii="Times New Roman" w:hAnsi="Times New Roman" w:cs="Times New Roman"/>
          <w:noProof/>
        </w:rPr>
        <w:t>43</w:t>
      </w:r>
      <w:r w:rsidR="009642DD">
        <w:rPr>
          <w:rFonts w:ascii="Times New Roman" w:hAnsi="Times New Roman" w:cs="Times New Roman"/>
          <w:noProof/>
        </w:rPr>
        <w:t>.</w:t>
      </w:r>
    </w:p>
    <w:p w:rsidR="009642DD" w:rsidRPr="00FC7EEF" w:rsidRDefault="009642DD" w:rsidP="00D6158B">
      <w:pPr>
        <w:tabs>
          <w:tab w:val="center" w:pos="4800"/>
          <w:tab w:val="right" w:pos="9500"/>
        </w:tabs>
        <w:spacing w:line="480" w:lineRule="auto"/>
        <w:jc w:val="both"/>
        <w:rPr>
          <w:rFonts w:ascii="Times New Roman" w:hAnsi="Times New Roman" w:cs="Times New Roman"/>
          <w:noProof/>
        </w:rPr>
      </w:pPr>
    </w:p>
    <w:p w:rsidR="003F6451" w:rsidRPr="006A0822" w:rsidRDefault="009642DD" w:rsidP="00BA3192">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 xml:space="preserve">HULL, J. and WHITE, A. 2012. Cva and wrong-way risk. </w:t>
      </w:r>
      <w:r w:rsidR="003F6451" w:rsidRPr="006A0822">
        <w:rPr>
          <w:rFonts w:ascii="Times New Roman" w:hAnsi="Times New Roman" w:cs="Times New Roman"/>
          <w:i/>
          <w:iCs/>
          <w:noProof/>
          <w:color w:val="00B050"/>
        </w:rPr>
        <w:t>Financial Analysts Journal</w:t>
      </w:r>
      <w:r w:rsidR="003F6451" w:rsidRPr="006A0822">
        <w:rPr>
          <w:rFonts w:ascii="Times New Roman" w:hAnsi="Times New Roman" w:cs="Times New Roman"/>
          <w:noProof/>
          <w:color w:val="00B050"/>
        </w:rPr>
        <w:t>, 68(5):</w:t>
      </w:r>
      <w:r w:rsidRPr="006A0822">
        <w:rPr>
          <w:rFonts w:ascii="Times New Roman" w:hAnsi="Times New Roman" w:cs="Times New Roman"/>
          <w:noProof/>
          <w:color w:val="00B050"/>
        </w:rPr>
        <w:t xml:space="preserve"> 58-</w:t>
      </w:r>
      <w:r w:rsidR="003F6451" w:rsidRPr="006A0822">
        <w:rPr>
          <w:rFonts w:ascii="Times New Roman" w:hAnsi="Times New Roman" w:cs="Times New Roman"/>
          <w:noProof/>
          <w:color w:val="00B050"/>
        </w:rPr>
        <w:t>69</w:t>
      </w:r>
      <w:r w:rsidRPr="006A0822">
        <w:rPr>
          <w:rFonts w:ascii="Times New Roman" w:hAnsi="Times New Roman" w:cs="Times New Roman"/>
          <w:noProof/>
          <w:color w:val="00B050"/>
        </w:rPr>
        <w:t>.</w:t>
      </w:r>
    </w:p>
    <w:p w:rsidR="00BA3192" w:rsidRPr="006A0822" w:rsidRDefault="00BA3192" w:rsidP="00BA3192">
      <w:pPr>
        <w:tabs>
          <w:tab w:val="center" w:pos="4800"/>
          <w:tab w:val="right" w:pos="9500"/>
        </w:tabs>
        <w:spacing w:line="480" w:lineRule="auto"/>
        <w:jc w:val="both"/>
        <w:rPr>
          <w:rFonts w:ascii="Times New Roman" w:hAnsi="Times New Roman" w:cs="Times New Roman"/>
          <w:noProof/>
          <w:color w:val="00B050"/>
        </w:rPr>
      </w:pPr>
    </w:p>
    <w:p w:rsidR="00BA3192" w:rsidRPr="006A0822" w:rsidRDefault="009642DD" w:rsidP="00D6158B">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JÍLEK,</w:t>
      </w:r>
      <w:r w:rsidR="003F6451" w:rsidRPr="006A0822">
        <w:rPr>
          <w:rFonts w:ascii="Times New Roman" w:hAnsi="Times New Roman" w:cs="Times New Roman"/>
          <w:noProof/>
          <w:color w:val="00B050"/>
        </w:rPr>
        <w:t xml:space="preserve"> J.</w:t>
      </w:r>
      <w:r w:rsidRPr="006A0822">
        <w:rPr>
          <w:rFonts w:ascii="Times New Roman" w:hAnsi="Times New Roman" w:cs="Times New Roman"/>
          <w:noProof/>
          <w:color w:val="00B050"/>
        </w:rPr>
        <w:t xml:space="preserve"> 2000.</w:t>
      </w:r>
      <w:r w:rsidR="003F6451" w:rsidRPr="006A0822">
        <w:rPr>
          <w:rFonts w:ascii="Times New Roman" w:hAnsi="Times New Roman" w:cs="Times New Roman"/>
          <w:noProof/>
          <w:color w:val="00B050"/>
        </w:rPr>
        <w:t xml:space="preserve"> </w:t>
      </w:r>
      <w:r w:rsidR="003F6451" w:rsidRPr="006A0822">
        <w:rPr>
          <w:rFonts w:ascii="Times New Roman" w:hAnsi="Times New Roman" w:cs="Times New Roman"/>
          <w:i/>
          <w:noProof/>
          <w:color w:val="00B050"/>
        </w:rPr>
        <w:t>Finan</w:t>
      </w:r>
      <w:r w:rsidR="00D6158B" w:rsidRPr="006A0822">
        <w:rPr>
          <w:rFonts w:ascii="Times New Roman" w:hAnsi="Times New Roman" w:cs="Times New Roman"/>
          <w:i/>
          <w:noProof/>
          <w:color w:val="00B050"/>
        </w:rPr>
        <w:t>ční</w:t>
      </w:r>
      <w:r w:rsidR="00BA3192" w:rsidRPr="006A0822">
        <w:rPr>
          <w:rFonts w:ascii="Times New Roman" w:hAnsi="Times New Roman" w:cs="Times New Roman"/>
          <w:i/>
          <w:noProof/>
          <w:color w:val="00B050"/>
        </w:rPr>
        <w:t xml:space="preserve"> rizika</w:t>
      </w:r>
      <w:r w:rsidR="00BA3192" w:rsidRPr="006A0822">
        <w:rPr>
          <w:rFonts w:ascii="Times New Roman" w:hAnsi="Times New Roman" w:cs="Times New Roman"/>
          <w:noProof/>
          <w:color w:val="00B050"/>
        </w:rPr>
        <w:t>. 1. vyd. P</w:t>
      </w:r>
      <w:r w:rsidR="003F6451" w:rsidRPr="006A0822">
        <w:rPr>
          <w:rFonts w:ascii="Times New Roman" w:hAnsi="Times New Roman" w:cs="Times New Roman"/>
          <w:noProof/>
          <w:color w:val="00B050"/>
        </w:rPr>
        <w:t>raha: Grada</w:t>
      </w:r>
      <w:r w:rsidR="00BA3192" w:rsidRPr="006A0822">
        <w:rPr>
          <w:rFonts w:ascii="Times New Roman" w:hAnsi="Times New Roman" w:cs="Times New Roman"/>
          <w:noProof/>
          <w:color w:val="00B050"/>
        </w:rPr>
        <w:t>.</w:t>
      </w:r>
    </w:p>
    <w:p w:rsidR="00BA3192" w:rsidRDefault="00BA3192" w:rsidP="00D6158B">
      <w:pPr>
        <w:tabs>
          <w:tab w:val="center" w:pos="4800"/>
          <w:tab w:val="right" w:pos="9500"/>
        </w:tabs>
        <w:spacing w:line="480" w:lineRule="auto"/>
        <w:jc w:val="both"/>
        <w:rPr>
          <w:rFonts w:ascii="Times New Roman" w:hAnsi="Times New Roman" w:cs="Times New Roman"/>
          <w:noProof/>
        </w:rPr>
      </w:pPr>
    </w:p>
    <w:p w:rsidR="003F6451" w:rsidRDefault="00BA3192" w:rsidP="00BA3192">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lastRenderedPageBreak/>
        <w:t>PYKHTIN, M.</w:t>
      </w:r>
      <w:r w:rsidR="003F6451" w:rsidRPr="00FC7EEF">
        <w:rPr>
          <w:rFonts w:ascii="Times New Roman" w:hAnsi="Times New Roman" w:cs="Times New Roman"/>
          <w:noProof/>
        </w:rPr>
        <w:t xml:space="preserve"> and</w:t>
      </w:r>
      <w:r>
        <w:rPr>
          <w:rFonts w:ascii="Times New Roman" w:hAnsi="Times New Roman" w:cs="Times New Roman"/>
          <w:noProof/>
        </w:rPr>
        <w:t xml:space="preserve"> ROSEN,</w:t>
      </w:r>
      <w:r w:rsidR="003F6451" w:rsidRPr="00FC7EEF">
        <w:rPr>
          <w:rFonts w:ascii="Times New Roman" w:hAnsi="Times New Roman" w:cs="Times New Roman"/>
          <w:noProof/>
        </w:rPr>
        <w:t xml:space="preserve"> D.</w:t>
      </w:r>
      <w:r>
        <w:rPr>
          <w:rFonts w:ascii="Times New Roman" w:hAnsi="Times New Roman" w:cs="Times New Roman"/>
          <w:noProof/>
        </w:rPr>
        <w:t xml:space="preserve"> 2010.</w:t>
      </w:r>
      <w:r w:rsidR="003F6451" w:rsidRPr="00FC7EEF">
        <w:rPr>
          <w:rFonts w:ascii="Times New Roman" w:hAnsi="Times New Roman" w:cs="Times New Roman"/>
          <w:noProof/>
        </w:rPr>
        <w:t xml:space="preserve"> Pricing counterparty risk at the trade l</w:t>
      </w:r>
      <w:r>
        <w:rPr>
          <w:rFonts w:ascii="Times New Roman" w:hAnsi="Times New Roman" w:cs="Times New Roman"/>
          <w:noProof/>
        </w:rPr>
        <w:t>evel and CVA allocations</w:t>
      </w:r>
      <w:r w:rsidR="00244B1A">
        <w:rPr>
          <w:rFonts w:ascii="Times New Roman" w:hAnsi="Times New Roman" w:cs="Times New Roman"/>
          <w:noProof/>
        </w:rPr>
        <w:t xml:space="preserve">. [Online]. </w:t>
      </w:r>
      <w:r w:rsidR="00244B1A" w:rsidRPr="00244B1A">
        <w:rPr>
          <w:rFonts w:ascii="Times New Roman" w:hAnsi="Times New Roman" w:cs="Times New Roman"/>
          <w:noProof/>
        </w:rPr>
        <w:t>FEDS Working Paper No. 10.</w:t>
      </w:r>
      <w:r w:rsidR="00244B1A">
        <w:rPr>
          <w:rFonts w:ascii="Times New Roman" w:hAnsi="Times New Roman" w:cs="Times New Roman"/>
          <w:noProof/>
        </w:rPr>
        <w:t xml:space="preserve"> </w:t>
      </w:r>
      <w:r w:rsidRPr="00BA3192">
        <w:rPr>
          <w:rFonts w:ascii="Times New Roman" w:hAnsi="Times New Roman" w:cs="Times New Roman"/>
          <w:noProof/>
        </w:rPr>
        <w:t>Available at</w:t>
      </w:r>
      <w:r w:rsidR="00244B1A">
        <w:rPr>
          <w:rFonts w:ascii="Times New Roman" w:hAnsi="Times New Roman" w:cs="Times New Roman"/>
          <w:noProof/>
        </w:rPr>
        <w:t>:</w:t>
      </w:r>
      <w:r w:rsidRPr="00BA3192">
        <w:rPr>
          <w:rFonts w:ascii="Times New Roman" w:hAnsi="Times New Roman" w:cs="Times New Roman"/>
          <w:noProof/>
        </w:rPr>
        <w:t xml:space="preserve"> http://ssrn.com/abstract=1782063</w:t>
      </w:r>
    </w:p>
    <w:p w:rsidR="008341AE" w:rsidRDefault="008341AE" w:rsidP="00BA3192">
      <w:pPr>
        <w:tabs>
          <w:tab w:val="center" w:pos="4800"/>
          <w:tab w:val="right" w:pos="9500"/>
        </w:tabs>
        <w:spacing w:line="480" w:lineRule="auto"/>
        <w:jc w:val="both"/>
        <w:rPr>
          <w:rFonts w:ascii="Times New Roman" w:hAnsi="Times New Roman" w:cs="Times New Roman"/>
          <w:noProof/>
        </w:rPr>
      </w:pPr>
    </w:p>
    <w:p w:rsidR="008341AE" w:rsidRPr="005D6701" w:rsidRDefault="00C13731" w:rsidP="00BA3192">
      <w:pPr>
        <w:tabs>
          <w:tab w:val="center" w:pos="4800"/>
          <w:tab w:val="right" w:pos="9500"/>
        </w:tabs>
        <w:spacing w:line="480" w:lineRule="auto"/>
        <w:jc w:val="both"/>
        <w:rPr>
          <w:rFonts w:ascii="Times New Roman" w:hAnsi="Times New Roman" w:cs="Times New Roman"/>
          <w:i/>
          <w:noProof/>
        </w:rPr>
      </w:pPr>
      <w:r w:rsidRPr="008341AE">
        <w:rPr>
          <w:rFonts w:ascii="Times New Roman" w:hAnsi="Times New Roman" w:cs="Times New Roman"/>
          <w:noProof/>
        </w:rPr>
        <w:t xml:space="preserve">PYKHTIN, M. </w:t>
      </w:r>
      <w:r>
        <w:rPr>
          <w:rFonts w:ascii="Times New Roman" w:hAnsi="Times New Roman" w:cs="Times New Roman"/>
          <w:noProof/>
        </w:rPr>
        <w:t xml:space="preserve">and </w:t>
      </w:r>
      <w:r w:rsidR="008341AE" w:rsidRPr="008341AE">
        <w:rPr>
          <w:rFonts w:ascii="Times New Roman" w:hAnsi="Times New Roman" w:cs="Times New Roman"/>
          <w:noProof/>
        </w:rPr>
        <w:t>ZHU, S</w:t>
      </w:r>
      <w:r w:rsidR="008341AE">
        <w:rPr>
          <w:rFonts w:ascii="Times New Roman" w:hAnsi="Times New Roman" w:cs="Times New Roman"/>
          <w:noProof/>
        </w:rPr>
        <w:t>.</w:t>
      </w:r>
      <w:r>
        <w:rPr>
          <w:rFonts w:ascii="Times New Roman" w:hAnsi="Times New Roman" w:cs="Times New Roman"/>
          <w:noProof/>
        </w:rPr>
        <w:t xml:space="preserve"> H. </w:t>
      </w:r>
      <w:r w:rsidR="008341AE" w:rsidRPr="008341AE">
        <w:rPr>
          <w:rFonts w:ascii="Times New Roman" w:hAnsi="Times New Roman" w:cs="Times New Roman"/>
          <w:noProof/>
        </w:rPr>
        <w:t>2007.</w:t>
      </w:r>
      <w:r w:rsidR="008341AE">
        <w:rPr>
          <w:rFonts w:ascii="Times New Roman" w:hAnsi="Times New Roman" w:cs="Times New Roman"/>
          <w:noProof/>
        </w:rPr>
        <w:t xml:space="preserve"> </w:t>
      </w:r>
      <w:r w:rsidR="008341AE" w:rsidRPr="008341AE">
        <w:rPr>
          <w:rFonts w:ascii="Times New Roman" w:hAnsi="Times New Roman" w:cs="Times New Roman"/>
          <w:noProof/>
        </w:rPr>
        <w:t>A guide to modeling counterparty credit risk.</w:t>
      </w:r>
      <w:r w:rsidR="008341AE">
        <w:rPr>
          <w:rFonts w:ascii="Times New Roman" w:hAnsi="Times New Roman" w:cs="Times New Roman"/>
          <w:noProof/>
        </w:rPr>
        <w:t xml:space="preserve"> </w:t>
      </w:r>
      <w:r w:rsidR="008341AE" w:rsidRPr="005D6701">
        <w:rPr>
          <w:rFonts w:ascii="Times New Roman" w:hAnsi="Times New Roman" w:cs="Times New Roman"/>
          <w:i/>
          <w:noProof/>
        </w:rPr>
        <w:t>GARP Risk Review.</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sectPr w:rsidR="003F6451" w:rsidRPr="00FC7EEF"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153" w:rsidRDefault="00916153" w:rsidP="003F6451">
      <w:r>
        <w:separator/>
      </w:r>
    </w:p>
  </w:endnote>
  <w:endnote w:type="continuationSeparator" w:id="0">
    <w:p w:rsidR="00916153" w:rsidRDefault="00916153">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153" w:rsidRDefault="00916153" w:rsidP="003F6451">
      <w:r>
        <w:separator/>
      </w:r>
    </w:p>
  </w:footnote>
  <w:footnote w:type="continuationSeparator" w:id="0">
    <w:p w:rsidR="00916153" w:rsidRDefault="00916153"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A7396"/>
    <w:rsid w:val="000C105B"/>
    <w:rsid w:val="001646E3"/>
    <w:rsid w:val="001B7CA5"/>
    <w:rsid w:val="001C7861"/>
    <w:rsid w:val="001E3409"/>
    <w:rsid w:val="00200485"/>
    <w:rsid w:val="00244B1A"/>
    <w:rsid w:val="002C667F"/>
    <w:rsid w:val="002E2D21"/>
    <w:rsid w:val="003E6001"/>
    <w:rsid w:val="003F6451"/>
    <w:rsid w:val="00460331"/>
    <w:rsid w:val="004B687A"/>
    <w:rsid w:val="004E30FB"/>
    <w:rsid w:val="004F1A99"/>
    <w:rsid w:val="00552C9B"/>
    <w:rsid w:val="005B2603"/>
    <w:rsid w:val="005D6701"/>
    <w:rsid w:val="00604529"/>
    <w:rsid w:val="00610C31"/>
    <w:rsid w:val="006521D7"/>
    <w:rsid w:val="006573FA"/>
    <w:rsid w:val="00693D92"/>
    <w:rsid w:val="006A0822"/>
    <w:rsid w:val="00744CD8"/>
    <w:rsid w:val="00775F08"/>
    <w:rsid w:val="007D5D7C"/>
    <w:rsid w:val="007E3085"/>
    <w:rsid w:val="008341AE"/>
    <w:rsid w:val="008930A3"/>
    <w:rsid w:val="00916153"/>
    <w:rsid w:val="00945269"/>
    <w:rsid w:val="009476D7"/>
    <w:rsid w:val="009642DD"/>
    <w:rsid w:val="009C50DB"/>
    <w:rsid w:val="009F393C"/>
    <w:rsid w:val="00A02CA9"/>
    <w:rsid w:val="00B14F15"/>
    <w:rsid w:val="00B67D77"/>
    <w:rsid w:val="00BA3192"/>
    <w:rsid w:val="00BE010F"/>
    <w:rsid w:val="00C13731"/>
    <w:rsid w:val="00C47B72"/>
    <w:rsid w:val="00CD6006"/>
    <w:rsid w:val="00D6158B"/>
    <w:rsid w:val="00D85F55"/>
    <w:rsid w:val="00DE0BD3"/>
    <w:rsid w:val="00E26169"/>
    <w:rsid w:val="00F4695A"/>
    <w:rsid w:val="00F75ED9"/>
    <w:rsid w:val="00FC7E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93C"/>
    <w:rPr>
      <w:rFonts w:ascii="Tahoma" w:hAnsi="Tahoma" w:cs="Tahoma"/>
      <w:sz w:val="16"/>
      <w:szCs w:val="16"/>
    </w:rPr>
  </w:style>
  <w:style w:type="character" w:customStyle="1" w:styleId="BalloonTextChar">
    <w:name w:val="Balloon Text Char"/>
    <w:basedOn w:val="DefaultParagraphFont"/>
    <w:link w:val="BalloonText"/>
    <w:uiPriority w:val="99"/>
    <w:semiHidden/>
    <w:rsid w:val="009F393C"/>
    <w:rPr>
      <w:rFonts w:ascii="Tahoma" w:hAnsi="Tahoma" w:cs="Tahoma"/>
      <w:sz w:val="16"/>
      <w:szCs w:val="16"/>
    </w:rPr>
  </w:style>
  <w:style w:type="character" w:customStyle="1" w:styleId="Heading1Char">
    <w:name w:val="Heading 1 Char"/>
    <w:basedOn w:val="DefaultParagraphFont"/>
    <w:link w:val="Heading1"/>
    <w:uiPriority w:val="9"/>
    <w:rsid w:val="00FC7EE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7E3085"/>
    <w:rPr>
      <w:sz w:val="20"/>
      <w:szCs w:val="20"/>
    </w:rPr>
  </w:style>
  <w:style w:type="character" w:customStyle="1" w:styleId="FootnoteTextChar">
    <w:name w:val="Footnote Text Char"/>
    <w:basedOn w:val="DefaultParagraphFont"/>
    <w:link w:val="FootnoteText"/>
    <w:uiPriority w:val="99"/>
    <w:rsid w:val="007E3085"/>
    <w:rPr>
      <w:rFonts w:ascii="Calibri" w:hAnsi="Calibri" w:cs="Calibri"/>
      <w:sz w:val="20"/>
      <w:szCs w:val="20"/>
    </w:rPr>
  </w:style>
  <w:style w:type="character" w:styleId="Hyperlink">
    <w:name w:val="Hyperlink"/>
    <w:basedOn w:val="DefaultParagraphFont"/>
    <w:uiPriority w:val="99"/>
    <w:unhideWhenUsed/>
    <w:rsid w:val="007E3085"/>
    <w:rPr>
      <w:color w:val="0000FF" w:themeColor="hyperlink"/>
      <w:u w:val="single"/>
    </w:rPr>
  </w:style>
  <w:style w:type="character" w:customStyle="1" w:styleId="Heading4Char">
    <w:name w:val="Heading 4 Char"/>
    <w:basedOn w:val="DefaultParagraphFont"/>
    <w:link w:val="Heading4"/>
    <w:uiPriority w:val="9"/>
    <w:semiHidden/>
    <w:rsid w:val="000A7396"/>
    <w:rPr>
      <w:rFonts w:asciiTheme="majorHAnsi" w:eastAsiaTheme="majorEastAsia" w:hAnsiTheme="majorHAnsi" w:cstheme="majorBidi"/>
      <w:b/>
      <w:bCs/>
      <w:i/>
      <w:iCs/>
      <w:color w:val="4F81BD" w:themeColor="accent1"/>
      <w:sz w:val="24"/>
      <w:szCs w:val="24"/>
    </w:rPr>
  </w:style>
  <w:style w:type="table" w:styleId="LightShading">
    <w:name w:val="Light Shading"/>
    <w:basedOn w:val="TableNormal"/>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0BD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93C"/>
    <w:rPr>
      <w:rFonts w:ascii="Tahoma" w:hAnsi="Tahoma" w:cs="Tahoma"/>
      <w:sz w:val="16"/>
      <w:szCs w:val="16"/>
    </w:rPr>
  </w:style>
  <w:style w:type="character" w:customStyle="1" w:styleId="BalloonTextChar">
    <w:name w:val="Balloon Text Char"/>
    <w:basedOn w:val="DefaultParagraphFont"/>
    <w:link w:val="BalloonText"/>
    <w:uiPriority w:val="99"/>
    <w:semiHidden/>
    <w:rsid w:val="009F393C"/>
    <w:rPr>
      <w:rFonts w:ascii="Tahoma" w:hAnsi="Tahoma" w:cs="Tahoma"/>
      <w:sz w:val="16"/>
      <w:szCs w:val="16"/>
    </w:rPr>
  </w:style>
  <w:style w:type="character" w:customStyle="1" w:styleId="Heading1Char">
    <w:name w:val="Heading 1 Char"/>
    <w:basedOn w:val="DefaultParagraphFont"/>
    <w:link w:val="Heading1"/>
    <w:uiPriority w:val="9"/>
    <w:rsid w:val="00FC7EEF"/>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7E3085"/>
    <w:rPr>
      <w:sz w:val="20"/>
      <w:szCs w:val="20"/>
    </w:rPr>
  </w:style>
  <w:style w:type="character" w:customStyle="1" w:styleId="FootnoteTextChar">
    <w:name w:val="Footnote Text Char"/>
    <w:basedOn w:val="DefaultParagraphFont"/>
    <w:link w:val="FootnoteText"/>
    <w:uiPriority w:val="99"/>
    <w:rsid w:val="007E3085"/>
    <w:rPr>
      <w:rFonts w:ascii="Calibri" w:hAnsi="Calibri" w:cs="Calibri"/>
      <w:sz w:val="20"/>
      <w:szCs w:val="20"/>
    </w:rPr>
  </w:style>
  <w:style w:type="character" w:styleId="Hyperlink">
    <w:name w:val="Hyperlink"/>
    <w:basedOn w:val="DefaultParagraphFont"/>
    <w:uiPriority w:val="99"/>
    <w:unhideWhenUsed/>
    <w:rsid w:val="007E3085"/>
    <w:rPr>
      <w:color w:val="0000FF" w:themeColor="hyperlink"/>
      <w:u w:val="single"/>
    </w:rPr>
  </w:style>
  <w:style w:type="character" w:customStyle="1" w:styleId="Heading4Char">
    <w:name w:val="Heading 4 Char"/>
    <w:basedOn w:val="DefaultParagraphFont"/>
    <w:link w:val="Heading4"/>
    <w:uiPriority w:val="9"/>
    <w:semiHidden/>
    <w:rsid w:val="000A7396"/>
    <w:rPr>
      <w:rFonts w:asciiTheme="majorHAnsi" w:eastAsiaTheme="majorEastAsia" w:hAnsiTheme="majorHAnsi" w:cstheme="majorBidi"/>
      <w:b/>
      <w:bCs/>
      <w:i/>
      <w:iCs/>
      <w:color w:val="4F81BD" w:themeColor="accent1"/>
      <w:sz w:val="24"/>
      <w:szCs w:val="24"/>
    </w:rPr>
  </w:style>
  <w:style w:type="table" w:styleId="LightShading">
    <w:name w:val="Light Shading"/>
    <w:basedOn w:val="TableNormal"/>
    <w:uiPriority w:val="60"/>
    <w:rsid w:val="009C50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C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E0BD3"/>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Pages>14</Pages>
  <Words>2062</Words>
  <Characters>11754</Characters>
  <Application>Microsoft Office Word</Application>
  <DocSecurity>0</DocSecurity>
  <Lines>97</Lines>
  <Paragraphs>27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Uzivatel1</dc:creator>
  <cp:lastModifiedBy>Lenka</cp:lastModifiedBy>
  <cp:revision>21</cp:revision>
  <dcterms:created xsi:type="dcterms:W3CDTF">2016-11-09T14:31:00Z</dcterms:created>
  <dcterms:modified xsi:type="dcterms:W3CDTF">2016-11-26T22:13:00Z</dcterms:modified>
</cp:coreProperties>
</file>