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SECUREPAY</w:t>
        <w:br/>
      </w:r>
      <w:r>
        <w:rPr>
          <w:b/>
          <w:sz w:val="36"/>
        </w:rPr>
        <w:t>Unsupervised Credit Card Fraud Detection</w:t>
      </w:r>
    </w:p>
    <w:p>
      <w:pPr>
        <w:jc w:val="center"/>
      </w:pPr>
      <w:r>
        <w:t>Performance Analysis Report</w:t>
      </w:r>
    </w:p>
    <w:p>
      <w:pPr>
        <w:pStyle w:val="Heading1"/>
      </w:pPr>
      <w:r>
        <w:t>1. Introduction</w:t>
      </w:r>
    </w:p>
    <w:p>
      <w:r>
        <w:t>SecurePay is an unsupervised anomaly detection system designed to identify potentially fraudulent credit card transactions. The project addresses the extreme class imbalance found in financial fraud data by learning patterns of normal behavior and flagging unusual observations.</w:t>
      </w:r>
    </w:p>
    <w:p>
      <w:pPr>
        <w:pStyle w:val="Heading1"/>
      </w:pPr>
      <w:r>
        <w:t>2. Problem Statement</w:t>
      </w:r>
    </w:p>
    <w:p>
      <w:r>
        <w:t>Fraudulent transactions are rare compared with legitimate transactions. Accuracy can therefore be misleading. This project emphasizes Precision, Recall, F1-score and confusion matrices, together with contamination tuning.</w:t>
      </w:r>
    </w:p>
    <w:p>
      <w:pPr>
        <w:pStyle w:val="Heading1"/>
      </w:pPr>
      <w:r>
        <w:t>3. Objectives</w:t>
      </w:r>
    </w:p>
    <w:p>
      <w:r>
        <w:t>Analyze transaction Amount and Time; visualize class imbalance; apply RobustScaler to Amount; implement Isolation Forest and Local Outlier Factor (LOF); visualize anomalies using PCA; evaluate both models; tune contamination and recommend a final configuration.</w:t>
      </w:r>
    </w:p>
    <w:p>
      <w:pPr>
        <w:pStyle w:val="Heading1"/>
      </w:pPr>
      <w:r>
        <w:t>4. Dataset</w:t>
      </w:r>
    </w:p>
    <w:p>
      <w:r>
        <w:t>The dataset contains 284,807 transactions and 30 original features. Class 0 (Normal) contains 284,315 transactions (99.827251%), while Class 1 (Fraud) contains 492 transactions (0.172749%). This confirms severe class imbalance.</w:t>
      </w:r>
    </w:p>
    <w:p>
      <w:pPr>
        <w:pStyle w:val="Heading1"/>
      </w:pPr>
      <w:r>
        <w:t>5. Exploratory Data Analysis</w:t>
      </w:r>
    </w:p>
    <w:p>
      <w:r>
        <w:t>The notebook analyzes the class distribution and the distributions of Amount and Time. Amount is strongly right-skewed with a long high-value tail. The Time histogram shows transaction activity across the recorded interval.</w:t>
      </w:r>
    </w:p>
    <w:p>
      <w:pPr>
        <w:pStyle w:val="Heading1"/>
      </w:pPr>
      <w:r>
        <w:t>6. Data Preprocessing – RobustScaler</w:t>
      </w:r>
    </w:p>
    <w:p>
      <w:r>
        <w:t>Class was separated from the feature matrix and RobustScaler was applied to Amount. The observed scaled Amount median was approximately 0.000000 and the maximum was approximately 358.683155.</w:t>
      </w:r>
    </w:p>
    <w:p>
      <w:pPr>
        <w:pStyle w:val="Heading1"/>
      </w:pPr>
      <w:r>
        <w:t>7. Isolation Forest</w:t>
      </w:r>
    </w:p>
    <w:p>
      <w:r>
        <w:t>Isolation Forest identifies observations that are easier to isolate through random feature and split selection. The recorded prediction distribution was 281,689 normal and 3,118 anomaly predictions.</w:t>
      </w:r>
    </w:p>
    <w:p>
      <w:pPr>
        <w:pStyle w:val="Heading1"/>
      </w:pPr>
      <w:r>
        <w:t>8. Isolation Forest Evaluation</w:t>
      </w:r>
    </w:p>
    <w:p>
      <w:r>
        <w:t>Confusion matrix: [[281471, 2844], [218, 274]]. Initial Precision = 0.087877, Recall = 0.556911, and F1-score = 0.151801.</w:t>
      </w:r>
    </w:p>
    <w:p>
      <w:pPr>
        <w:pStyle w:val="Heading1"/>
      </w:pPr>
      <w:r>
        <w:t>9. Local Outlier Factor (LOF)</w:t>
      </w:r>
    </w:p>
    <w:p>
      <w:r>
        <w:t>LOF compares the local density of an observation with its neighbors. Confusion matrix: [[281756, 2559], [336, 156]]. Initial Precision = 0.057459, Recall = 0.317073, and F1-score = 0.097287.</w:t>
      </w:r>
    </w:p>
    <w:p>
      <w:pPr>
        <w:pStyle w:val="Heading1"/>
      </w:pPr>
      <w:r>
        <w:t>10. PCA Visualization</w:t>
      </w:r>
    </w:p>
    <w:p>
      <w:r>
        <w:t>Principal Component Analysis was used to project the high-dimensional feature space into two dimensions for visualization of detected anomalies.</w:t>
      </w:r>
    </w:p>
    <w:p>
      <w:pPr>
        <w:pStyle w:val="Heading1"/>
      </w:pPr>
      <w:r>
        <w:t>11. Model Comparison</w:t>
      </w:r>
    </w:p>
    <w:p>
      <w:r>
        <w:t>Isolation Forest produced higher Precision, Recall and F1-score than LOF in the recorded initial comparison. It was therefore selected for further contamination tuning.</w:t>
      </w:r>
    </w:p>
    <w:p>
      <w:pPr>
        <w:pStyle w:val="Heading1"/>
      </w:pPr>
      <w:r>
        <w:t>12. Contamination Tuning</w:t>
      </w:r>
    </w:p>
    <w:p>
      <w:r>
        <w:t>The best recorded Isolation Forest configuration used contamination = 0.005, producing Precision = 0.1276, Recall = 0.4228 and F1-score = 0.1960. This was the highest F1-score among the tested configurations.</w:t>
      </w:r>
    </w:p>
    <w:p>
      <w:pPr>
        <w:pStyle w:val="Heading1"/>
      </w:pPr>
      <w:r>
        <w:t>13. Final Recommendation</w:t>
      </w:r>
    </w:p>
    <w:p>
      <w:r>
        <w:t>Recommended model: Isolation Forest. Recommended contamination: 0.005. The recommendation is based on the highest recorded F1-score among the tested contamination settings.</w:t>
      </w:r>
    </w:p>
    <w:p>
      <w:pPr>
        <w:pStyle w:val="Heading1"/>
      </w:pPr>
      <w:r>
        <w:t>14. Limitations</w:t>
      </w:r>
    </w:p>
    <w:p>
      <w:r>
        <w:t>The extreme class imbalance can produce false positives. Results depend on the tested contamination values. LOF can be computationally expensive on large datasets, and PCA is only a two-dimensional visualization of a higher-dimensional space.</w:t>
      </w:r>
    </w:p>
    <w:p>
      <w:pPr>
        <w:pStyle w:val="Heading1"/>
      </w:pPr>
      <w:r>
        <w:t>15. Future Scope</w:t>
      </w:r>
    </w:p>
    <w:p>
      <w:r>
        <w:t>Future work can evaluate One-Class SVM and Autoencoders, perform broader hyperparameter tuning, deploy a real-time fraud scoring API, introduce configurable business thresholds, and monitor model drift.</w:t>
      </w:r>
    </w:p>
    <w:p>
      <w:pPr>
        <w:pStyle w:val="Heading1"/>
      </w:pPr>
      <w:r>
        <w:t>16. Conclusion</w:t>
      </w:r>
    </w:p>
    <w:p>
      <w:r>
        <w:t>The SecurePay project demonstrates an unsupervised approach to fraud detection. Isolation Forest outperformed LOF in the recorded comparison, and contamination = 0.005 was the best tested operating point by F1-score.</w:t>
      </w:r>
    </w:p>
    <w:p>
      <w:pPr>
        <w:pStyle w:val="Heading1"/>
      </w:pPr>
      <w:r>
        <w:t>Key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Precision</w:t>
            </w:r>
          </w:p>
        </w:tc>
        <w:tc>
          <w:tcPr>
            <w:tcW w:type="dxa" w:w="2484"/>
          </w:tcPr>
          <w:p>
            <w:r>
              <w:t>Recall</w:t>
            </w:r>
          </w:p>
        </w:tc>
        <w:tc>
          <w:tcPr>
            <w:tcW w:type="dxa" w:w="2484"/>
          </w:tcPr>
          <w:p>
            <w:r>
              <w:t>F1-Score</w:t>
            </w:r>
          </w:p>
        </w:tc>
      </w:tr>
      <w:tr>
        <w:tc>
          <w:tcPr>
            <w:tcW w:type="dxa" w:w="2484"/>
          </w:tcPr>
          <w:p>
            <w:r>
              <w:t>Isolation Forest</w:t>
            </w:r>
          </w:p>
        </w:tc>
        <w:tc>
          <w:tcPr>
            <w:tcW w:type="dxa" w:w="2484"/>
          </w:tcPr>
          <w:p>
            <w:r>
              <w:t>0.087877</w:t>
            </w:r>
          </w:p>
        </w:tc>
        <w:tc>
          <w:tcPr>
            <w:tcW w:type="dxa" w:w="2484"/>
          </w:tcPr>
          <w:p>
            <w:r>
              <w:t>0.556911</w:t>
            </w:r>
          </w:p>
        </w:tc>
        <w:tc>
          <w:tcPr>
            <w:tcW w:type="dxa" w:w="2484"/>
          </w:tcPr>
          <w:p>
            <w:r>
              <w:t>0.151801</w:t>
            </w:r>
          </w:p>
        </w:tc>
      </w:tr>
      <w:tr>
        <w:tc>
          <w:tcPr>
            <w:tcW w:type="dxa" w:w="2484"/>
          </w:tcPr>
          <w:p>
            <w:r>
              <w:t>LOF</w:t>
            </w:r>
          </w:p>
        </w:tc>
        <w:tc>
          <w:tcPr>
            <w:tcW w:type="dxa" w:w="2484"/>
          </w:tcPr>
          <w:p>
            <w:r>
              <w:t>0.057459</w:t>
            </w:r>
          </w:p>
        </w:tc>
        <w:tc>
          <w:tcPr>
            <w:tcW w:type="dxa" w:w="2484"/>
          </w:tcPr>
          <w:p>
            <w:r>
              <w:t>0.317073</w:t>
            </w:r>
          </w:p>
        </w:tc>
        <w:tc>
          <w:tcPr>
            <w:tcW w:type="dxa" w:w="2484"/>
          </w:tcPr>
          <w:p>
            <w:r>
              <w:t>0.097287</w:t>
            </w:r>
          </w:p>
        </w:tc>
      </w:tr>
      <w:tr>
        <w:tc>
          <w:tcPr>
            <w:tcW w:type="dxa" w:w="2484"/>
          </w:tcPr>
          <w:p>
            <w:r>
              <w:t>Best tuned IF (0.005)</w:t>
            </w:r>
          </w:p>
        </w:tc>
        <w:tc>
          <w:tcPr>
            <w:tcW w:type="dxa" w:w="2484"/>
          </w:tcPr>
          <w:p>
            <w:r>
              <w:t>0.1276</w:t>
            </w:r>
          </w:p>
        </w:tc>
        <w:tc>
          <w:tcPr>
            <w:tcW w:type="dxa" w:w="2484"/>
          </w:tcPr>
          <w:p>
            <w:r>
              <w:t>0.4228</w:t>
            </w:r>
          </w:p>
        </w:tc>
        <w:tc>
          <w:tcPr>
            <w:tcW w:type="dxa" w:w="2484"/>
          </w:tcPr>
          <w:p>
            <w:r>
              <w:t>0.1960</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