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0.80;</w:t>
      </w:r>
    </w:p>
    <w:p>
      <w:pPr>
        <w:spacing w:before="0" w:after="0"/>
        <w:shd w:val="clear" w:color="auto" w:fill="EFEFEF"/>
      </w:pPr>
      <w:r>
        <w:rPr>
          <w:rFonts w:ascii="Consolas" w:hAnsi="Consolas"/>
          <w:sz w:val="18"/>
        </w:rPr>
        <w:t>SET AUTO_REJECT_THRESHOLD = 0.30;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ap.name, ap.description, bp.name, 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 || ap.name || ' -- ' || ap.description ||</w:t>
      </w:r>
    </w:p>
    <w:p>
      <w:pPr>
        <w:spacing w:before="0" w:after="0"/>
        <w:shd w:val="clear" w:color="auto" w:fill="EFEFEF"/>
      </w:pPr>
      <w:r>
        <w:rPr>
          <w:rFonts w:ascii="Consolas" w:hAnsi="Consolas"/>
          <w:sz w:val="18"/>
        </w:rPr>
        <w:t xml:space="preserve">            '\nProduct B: ' || bp.name || ' -- ' || 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the </w:t>
      </w:r>
      <w:r>
        <w:rPr>
          <w:rFonts w:ascii="Consolas" w:hAnsi="Consolas"/>
          <w:sz w:val="20"/>
        </w:rPr>
        <w:t>band</w:t>
      </w:r>
      <w:r>
        <w:rPr>
          <w:b w:val="0"/>
        </w:rPr>
        <w:t xml:space="preserve"> breakdown shows most pairs as </w:t>
      </w:r>
      <w:r>
        <w:rPr>
          <w:rFonts w:ascii="Consolas" w:hAnsi="Consolas"/>
          <w:sz w:val="20"/>
        </w:rPr>
        <w:t>AUTO_ACCEPT</w:t>
      </w:r>
      <w:r>
        <w:rPr>
          <w:b w:val="0"/>
        </w:rPr>
        <w:t>/</w:t>
      </w:r>
      <w:r>
        <w:rPr>
          <w:rFonts w:ascii="Consolas" w:hAnsi="Consolas"/>
          <w:sz w:val="20"/>
        </w:rPr>
        <w:t>AUTO_REJECT</w:t>
      </w:r>
      <w:r>
        <w:rPr>
          <w:b w:val="0"/>
        </w:rPr>
        <w:t xml:space="preserve">, with </w:t>
      </w:r>
      <w:r>
        <w:rPr>
          <w:rFonts w:ascii="Consolas" w:hAnsi="Consolas"/>
          <w:sz w:val="20"/>
        </w:rPr>
        <w:t>GRAY_ZONE</w:t>
      </w:r>
      <w:r>
        <w:rPr>
          <w:b w:val="0"/>
        </w:rPr>
        <w:t xml:space="preserve"> a smaller minority (that minority is all that spends real LLM budget). </w:t>
      </w:r>
      <w:r>
        <w:rPr>
          <w:b/>
        </w:rPr>
        <w:t>If `GRAY_ZONE` is tens of thousands, tell me</w:t>
      </w:r>
      <w:r>
        <w:rPr>
          <w:b w:val="0"/>
        </w:rPr>
        <w:t xml:space="preserve"> — we'd tighten the thresholds before this runs (cost control).</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(Abt): ' || ap.name || ' -- ' || ap.description ||</w:t>
      </w:r>
    </w:p>
    <w:p>
      <w:pPr>
        <w:spacing w:before="0" w:after="0"/>
        <w:shd w:val="clear" w:color="auto" w:fill="EFEFEF"/>
      </w:pPr>
      <w:r>
        <w:rPr>
          <w:rFonts w:ascii="Consolas" w:hAnsi="Consolas"/>
          <w:sz w:val="18"/>
        </w:rPr>
        <w:t xml:space="preserve">              '\nProduct B (Buy): ' || bp.name || ' -- ' || 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 { semantic_view: "ABT_BUY.PUBLIC.ABT_BUY_SEMANTIC_VIEW"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 { semantic_view: "ABT_BUY.PUBLIC.ABT_BUY_SEMANTIC_VIEW"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 { semantic_view: "ABT_BUY.PUBLIC.ABT_BUY_SEMANTIC_VIEW"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