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047B" w14:textId="1E4EB180" w:rsidR="00BC5DE0" w:rsidRPr="00BC5DE0" w:rsidRDefault="00BC5DE0" w:rsidP="00BC5DE0">
      <w:pPr>
        <w:jc w:val="center"/>
        <w:rPr>
          <w:b/>
          <w:bCs/>
        </w:rPr>
      </w:pPr>
      <w:r w:rsidRPr="00BC5DE0">
        <w:rPr>
          <w:b/>
          <w:bCs/>
        </w:rPr>
        <w:t>TB or not TB</w:t>
      </w:r>
    </w:p>
    <w:p w14:paraId="30B50252" w14:textId="11A57052" w:rsidR="00BC5DE0" w:rsidRDefault="00BC5DE0" w:rsidP="00BC5DE0">
      <w:pPr>
        <w:jc w:val="center"/>
      </w:pPr>
      <w:r>
        <w:t>Kun-Woo R. Kim</w:t>
      </w:r>
    </w:p>
    <w:p w14:paraId="38EBC8C1" w14:textId="18C5F89D" w:rsidR="00BC5DE0" w:rsidRDefault="00BC5DE0" w:rsidP="00BC5DE0">
      <w:pPr>
        <w:jc w:val="center"/>
      </w:pPr>
      <w:r>
        <w:t>8/25/2023</w:t>
      </w:r>
    </w:p>
    <w:p w14:paraId="7EA07866" w14:textId="77777777" w:rsidR="00BC5DE0" w:rsidRDefault="00BC5DE0"/>
    <w:p w14:paraId="2452821E" w14:textId="7503DFFE" w:rsidR="00BC5DE0" w:rsidRDefault="00BC5DE0">
      <w:r>
        <w:t>Instruction: PDF with necessary text response and figures along with your code</w:t>
      </w:r>
    </w:p>
    <w:p w14:paraId="5B5DF979" w14:textId="77777777" w:rsidR="00BC5DE0" w:rsidRDefault="00BC5DE0"/>
    <w:p w14:paraId="0118169A" w14:textId="7D9A01E6" w:rsidR="00BC5DE0" w:rsidRDefault="00BC5DE0" w:rsidP="00BD609D">
      <w:pPr>
        <w:pStyle w:val="ListParagraph"/>
        <w:numPr>
          <w:ilvl w:val="0"/>
          <w:numId w:val="2"/>
        </w:numPr>
      </w:pPr>
      <w:r>
        <w:t>Considering every 5 years from age 0 to age 50 (i.e., age 0, 5, 10, 15, 20, etc.), what is the age at which a one-time screen will maximize life expectancy, and what is the life expectancy gain compared to no program?</w:t>
      </w:r>
    </w:p>
    <w:p w14:paraId="166DF5CB" w14:textId="34020062" w:rsidR="00957DC4" w:rsidRPr="00430750" w:rsidRDefault="00957DC4" w:rsidP="003E687D">
      <w:pPr>
        <w:pStyle w:val="ListParagraph"/>
        <w:rPr>
          <w:color w:val="0070C0"/>
        </w:rPr>
      </w:pPr>
    </w:p>
    <w:tbl>
      <w:tblPr>
        <w:tblStyle w:val="TableGrid"/>
        <w:tblW w:w="0" w:type="auto"/>
        <w:tblInd w:w="2511" w:type="dxa"/>
        <w:tblLook w:val="04A0" w:firstRow="1" w:lastRow="0" w:firstColumn="1" w:lastColumn="0" w:noHBand="0" w:noVBand="1"/>
      </w:tblPr>
      <w:tblGrid>
        <w:gridCol w:w="2155"/>
        <w:gridCol w:w="3060"/>
      </w:tblGrid>
      <w:tr w:rsidR="00430750" w:rsidRPr="00430750" w14:paraId="5849A010" w14:textId="77777777" w:rsidTr="00EE1AEE">
        <w:tc>
          <w:tcPr>
            <w:tcW w:w="2155" w:type="dxa"/>
          </w:tcPr>
          <w:p w14:paraId="4E1F0DB4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Strategy</w:t>
            </w:r>
          </w:p>
        </w:tc>
        <w:tc>
          <w:tcPr>
            <w:tcW w:w="3060" w:type="dxa"/>
          </w:tcPr>
          <w:p w14:paraId="185D8F28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Life Years</w:t>
            </w:r>
          </w:p>
        </w:tc>
      </w:tr>
      <w:tr w:rsidR="00430750" w:rsidRPr="00430750" w14:paraId="57805741" w14:textId="77777777" w:rsidTr="00EE1AEE">
        <w:tc>
          <w:tcPr>
            <w:tcW w:w="2155" w:type="dxa"/>
          </w:tcPr>
          <w:p w14:paraId="1B8E57F0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No screening</w:t>
            </w:r>
          </w:p>
        </w:tc>
        <w:tc>
          <w:tcPr>
            <w:tcW w:w="3060" w:type="dxa"/>
          </w:tcPr>
          <w:p w14:paraId="3ED048A9" w14:textId="6B9ABB78" w:rsidR="00EE1AEE" w:rsidRPr="00430750" w:rsidRDefault="00EE1AE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</w:tr>
      <w:tr w:rsidR="00430750" w:rsidRPr="00430750" w14:paraId="37C63B3F" w14:textId="77777777" w:rsidTr="00EE1AEE">
        <w:tc>
          <w:tcPr>
            <w:tcW w:w="2155" w:type="dxa"/>
          </w:tcPr>
          <w:p w14:paraId="71A04CF9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0</w:t>
            </w:r>
          </w:p>
        </w:tc>
        <w:tc>
          <w:tcPr>
            <w:tcW w:w="3060" w:type="dxa"/>
          </w:tcPr>
          <w:p w14:paraId="2DB5F008" w14:textId="480BEA77" w:rsidR="00EE1AEE" w:rsidRPr="00430750" w:rsidRDefault="00EE1AE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</w:tr>
      <w:tr w:rsidR="00430750" w:rsidRPr="00430750" w14:paraId="0FF85F47" w14:textId="77777777" w:rsidTr="00EE1AEE">
        <w:tc>
          <w:tcPr>
            <w:tcW w:w="2155" w:type="dxa"/>
          </w:tcPr>
          <w:p w14:paraId="4ADBBFA5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5</w:t>
            </w:r>
          </w:p>
        </w:tc>
        <w:tc>
          <w:tcPr>
            <w:tcW w:w="3060" w:type="dxa"/>
          </w:tcPr>
          <w:p w14:paraId="6B53FC06" w14:textId="2A16D67E" w:rsidR="00EE1AEE" w:rsidRPr="00430750" w:rsidRDefault="00EE1AE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11.5268</w:t>
            </w:r>
          </w:p>
        </w:tc>
      </w:tr>
      <w:tr w:rsidR="00430750" w:rsidRPr="00430750" w14:paraId="552623CF" w14:textId="77777777" w:rsidTr="00EE1AEE">
        <w:tc>
          <w:tcPr>
            <w:tcW w:w="2155" w:type="dxa"/>
          </w:tcPr>
          <w:p w14:paraId="466BEC40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10</w:t>
            </w:r>
          </w:p>
        </w:tc>
        <w:tc>
          <w:tcPr>
            <w:tcW w:w="3060" w:type="dxa"/>
          </w:tcPr>
          <w:p w14:paraId="35533BB3" w14:textId="67685037" w:rsidR="00EE1AEE" w:rsidRPr="00430750" w:rsidRDefault="00EE1AE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</w:t>
            </w:r>
            <w:r w:rsidRPr="00430750">
              <w:rPr>
                <w:color w:val="0070C0"/>
              </w:rPr>
              <w:t>6</w:t>
            </w:r>
          </w:p>
        </w:tc>
      </w:tr>
      <w:tr w:rsidR="00430750" w:rsidRPr="00430750" w14:paraId="03446C6F" w14:textId="77777777" w:rsidTr="00EE1AEE">
        <w:tc>
          <w:tcPr>
            <w:tcW w:w="2155" w:type="dxa"/>
          </w:tcPr>
          <w:p w14:paraId="3338979D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15</w:t>
            </w:r>
          </w:p>
        </w:tc>
        <w:tc>
          <w:tcPr>
            <w:tcW w:w="3060" w:type="dxa"/>
          </w:tcPr>
          <w:p w14:paraId="1D1D2C97" w14:textId="27DA4C50" w:rsidR="00EE1AEE" w:rsidRPr="00430750" w:rsidRDefault="00EE1AE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</w:tr>
      <w:tr w:rsidR="00430750" w:rsidRPr="00430750" w14:paraId="4C1DC860" w14:textId="77777777" w:rsidTr="00EE1AEE">
        <w:tc>
          <w:tcPr>
            <w:tcW w:w="2155" w:type="dxa"/>
          </w:tcPr>
          <w:p w14:paraId="73008E0D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20</w:t>
            </w:r>
          </w:p>
        </w:tc>
        <w:tc>
          <w:tcPr>
            <w:tcW w:w="3060" w:type="dxa"/>
          </w:tcPr>
          <w:p w14:paraId="77567D9C" w14:textId="7CAE55FA" w:rsidR="00EE1AEE" w:rsidRPr="00430750" w:rsidRDefault="00EE1AE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</w:tr>
      <w:tr w:rsidR="00430750" w:rsidRPr="00430750" w14:paraId="286952D0" w14:textId="77777777" w:rsidTr="00EE1AEE">
        <w:tc>
          <w:tcPr>
            <w:tcW w:w="2155" w:type="dxa"/>
          </w:tcPr>
          <w:p w14:paraId="2D9CEAB6" w14:textId="77777777" w:rsidR="00EE1AEE" w:rsidRPr="00430750" w:rsidRDefault="00EE1AEE" w:rsidP="00EE1AE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25</w:t>
            </w:r>
          </w:p>
        </w:tc>
        <w:tc>
          <w:tcPr>
            <w:tcW w:w="3060" w:type="dxa"/>
          </w:tcPr>
          <w:p w14:paraId="77E507CE" w14:textId="47254B82" w:rsidR="00EE1AEE" w:rsidRPr="00430750" w:rsidRDefault="00EE1AE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</w:tr>
    </w:tbl>
    <w:p w14:paraId="405C22F5" w14:textId="77777777" w:rsidR="00975C76" w:rsidRPr="00430750" w:rsidRDefault="00975C76" w:rsidP="003E687D">
      <w:pPr>
        <w:pStyle w:val="ListParagraph"/>
        <w:rPr>
          <w:color w:val="0070C0"/>
        </w:rPr>
      </w:pPr>
    </w:p>
    <w:p w14:paraId="3FF43530" w14:textId="275B7115" w:rsidR="00975C76" w:rsidRPr="00430750" w:rsidRDefault="00975C76" w:rsidP="003E687D">
      <w:pPr>
        <w:pStyle w:val="ListParagraph"/>
        <w:rPr>
          <w:color w:val="0070C0"/>
        </w:rPr>
      </w:pPr>
      <w:r w:rsidRPr="00430750">
        <w:rPr>
          <w:color w:val="0070C0"/>
        </w:rPr>
        <w:t>Having a one-time screen at age 5 maximizes life expectancy</w:t>
      </w:r>
      <w:r w:rsidR="00C229D8" w:rsidRPr="00430750">
        <w:rPr>
          <w:color w:val="0070C0"/>
        </w:rPr>
        <w:t>.</w:t>
      </w:r>
      <w:r w:rsidR="001E727D" w:rsidRPr="00430750">
        <w:rPr>
          <w:color w:val="0070C0"/>
        </w:rPr>
        <w:t xml:space="preserve"> Compared to no program, it increases life years by </w:t>
      </w:r>
      <w:r w:rsidR="001E727D" w:rsidRPr="00430750">
        <w:rPr>
          <w:color w:val="0070C0"/>
        </w:rPr>
        <w:t>0.000</w:t>
      </w:r>
      <w:r w:rsidR="004E70ED" w:rsidRPr="00430750">
        <w:rPr>
          <w:color w:val="0070C0"/>
        </w:rPr>
        <w:t>3</w:t>
      </w:r>
    </w:p>
    <w:p w14:paraId="50F84A96" w14:textId="77777777" w:rsidR="00BC5DE0" w:rsidRDefault="00BC5DE0" w:rsidP="00BC5DE0"/>
    <w:p w14:paraId="7D6E8EB1" w14:textId="77777777" w:rsidR="00D04F23" w:rsidRDefault="00BC5DE0" w:rsidP="00D04F23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Assuming testing costs of $10 and treatment costs of $200, report the incremental cost-effectiveness of non-dominated </w:t>
      </w:r>
      <w:r w:rsidRPr="00D04F23">
        <w:rPr>
          <w:rFonts w:cstheme="minorHAnsi"/>
        </w:rPr>
        <w:t>strategies (assume no discounting, and a lifetime analytic horizon). For a WTP of $1000 per life-year (LY) saved, what is the optimal strategy based on the information given? (Note, it is also an option to have no program).</w:t>
      </w:r>
    </w:p>
    <w:p w14:paraId="6045F22A" w14:textId="77777777" w:rsidR="00D04F23" w:rsidRDefault="00D04F23" w:rsidP="00D04F23">
      <w:pPr>
        <w:pStyle w:val="ListParagraph"/>
        <w:rPr>
          <w:rFonts w:cstheme="minorHAns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2250"/>
        <w:gridCol w:w="2174"/>
        <w:gridCol w:w="1961"/>
      </w:tblGrid>
      <w:tr w:rsidR="00430750" w:rsidRPr="00430750" w14:paraId="5D052B6F" w14:textId="77777777" w:rsidTr="00A010CA">
        <w:tc>
          <w:tcPr>
            <w:tcW w:w="2245" w:type="dxa"/>
          </w:tcPr>
          <w:p w14:paraId="3CAE4CC8" w14:textId="74BED8E5" w:rsidR="007B1CBF" w:rsidRPr="00430750" w:rsidRDefault="00EE1AEE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Strategy</w:t>
            </w:r>
          </w:p>
        </w:tc>
        <w:tc>
          <w:tcPr>
            <w:tcW w:w="2250" w:type="dxa"/>
          </w:tcPr>
          <w:p w14:paraId="05C46270" w14:textId="59D1581F" w:rsidR="007B1CBF" w:rsidRPr="00430750" w:rsidRDefault="007B1CBF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Life Years</w:t>
            </w:r>
          </w:p>
        </w:tc>
        <w:tc>
          <w:tcPr>
            <w:tcW w:w="2174" w:type="dxa"/>
          </w:tcPr>
          <w:p w14:paraId="5A0104A1" w14:textId="67557438" w:rsidR="007B1CBF" w:rsidRPr="00430750" w:rsidRDefault="007B1CBF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Costs</w:t>
            </w:r>
          </w:p>
        </w:tc>
        <w:tc>
          <w:tcPr>
            <w:tcW w:w="1961" w:type="dxa"/>
          </w:tcPr>
          <w:p w14:paraId="741B7930" w14:textId="590F77C1" w:rsidR="007B1CBF" w:rsidRPr="00430750" w:rsidRDefault="007B1CBF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ICER</w:t>
            </w:r>
          </w:p>
        </w:tc>
      </w:tr>
      <w:tr w:rsidR="00430750" w:rsidRPr="00430750" w14:paraId="4B2ABC37" w14:textId="77777777" w:rsidTr="00A010CA">
        <w:tc>
          <w:tcPr>
            <w:tcW w:w="2245" w:type="dxa"/>
          </w:tcPr>
          <w:p w14:paraId="2A602B0D" w14:textId="1CCB48D3" w:rsidR="007B1CBF" w:rsidRPr="00430750" w:rsidRDefault="003238D8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</w:t>
            </w:r>
            <w:r w:rsidRPr="00430750">
              <w:rPr>
                <w:rFonts w:cstheme="minorHAnsi"/>
                <w:b/>
                <w:bCs/>
                <w:color w:val="0070C0"/>
              </w:rPr>
              <w:t xml:space="preserve">creening at age </w:t>
            </w:r>
            <w:r w:rsidRPr="00430750">
              <w:rPr>
                <w:rFonts w:cstheme="minorHAnsi"/>
                <w:b/>
                <w:bCs/>
                <w:color w:val="0070C0"/>
              </w:rPr>
              <w:t>15</w:t>
            </w:r>
          </w:p>
        </w:tc>
        <w:tc>
          <w:tcPr>
            <w:tcW w:w="2250" w:type="dxa"/>
          </w:tcPr>
          <w:p w14:paraId="46605083" w14:textId="268499D6" w:rsidR="007B1CBF" w:rsidRPr="00430750" w:rsidRDefault="00BD3052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  <w:tc>
          <w:tcPr>
            <w:tcW w:w="2174" w:type="dxa"/>
          </w:tcPr>
          <w:p w14:paraId="77FD93AB" w14:textId="4CDC26B3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0.</w:t>
            </w:r>
            <w:r w:rsidRPr="00430750">
              <w:rPr>
                <w:rFonts w:cstheme="minorHAnsi"/>
                <w:color w:val="0070C0"/>
              </w:rPr>
              <w:t>20</w:t>
            </w:r>
          </w:p>
        </w:tc>
        <w:tc>
          <w:tcPr>
            <w:tcW w:w="1961" w:type="dxa"/>
          </w:tcPr>
          <w:p w14:paraId="5616FE68" w14:textId="46201605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-</w:t>
            </w:r>
          </w:p>
        </w:tc>
      </w:tr>
      <w:tr w:rsidR="00430750" w:rsidRPr="00430750" w14:paraId="057FDD0D" w14:textId="77777777" w:rsidTr="00A010CA">
        <w:tc>
          <w:tcPr>
            <w:tcW w:w="2245" w:type="dxa"/>
          </w:tcPr>
          <w:p w14:paraId="41835B0E" w14:textId="34B05640" w:rsidR="007B1CBF" w:rsidRPr="00430750" w:rsidRDefault="003238D8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</w:t>
            </w:r>
            <w:r w:rsidRPr="00430750">
              <w:rPr>
                <w:rFonts w:cstheme="minorHAnsi"/>
                <w:b/>
                <w:bCs/>
                <w:color w:val="0070C0"/>
              </w:rPr>
              <w:t>creening at age 0</w:t>
            </w:r>
          </w:p>
        </w:tc>
        <w:tc>
          <w:tcPr>
            <w:tcW w:w="2250" w:type="dxa"/>
          </w:tcPr>
          <w:p w14:paraId="6748F017" w14:textId="40150AF9" w:rsidR="007B1CBF" w:rsidRPr="00430750" w:rsidRDefault="00BD3052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color w:val="0070C0"/>
              </w:rPr>
              <w:t>11.5265</w:t>
            </w:r>
          </w:p>
        </w:tc>
        <w:tc>
          <w:tcPr>
            <w:tcW w:w="2174" w:type="dxa"/>
          </w:tcPr>
          <w:p w14:paraId="742F918C" w14:textId="3D86E1DE" w:rsidR="007B1CBF" w:rsidRPr="00430750" w:rsidRDefault="00A010C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20.</w:t>
            </w:r>
            <w:r w:rsidR="0069798A" w:rsidRPr="00430750">
              <w:rPr>
                <w:rFonts w:cstheme="minorHAnsi"/>
                <w:color w:val="0070C0"/>
              </w:rPr>
              <w:t>20</w:t>
            </w:r>
          </w:p>
        </w:tc>
        <w:tc>
          <w:tcPr>
            <w:tcW w:w="1961" w:type="dxa"/>
          </w:tcPr>
          <w:p w14:paraId="5FEF96FA" w14:textId="39E1D8F2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  <w:kern w:val="0"/>
              </w:rPr>
              <w:t>24155503.85</w:t>
            </w:r>
          </w:p>
        </w:tc>
      </w:tr>
      <w:tr w:rsidR="00430750" w:rsidRPr="00430750" w14:paraId="7D02917F" w14:textId="77777777" w:rsidTr="00A010CA">
        <w:tc>
          <w:tcPr>
            <w:tcW w:w="2245" w:type="dxa"/>
          </w:tcPr>
          <w:p w14:paraId="154FE23D" w14:textId="26180DFF" w:rsidR="007B1CBF" w:rsidRPr="00430750" w:rsidRDefault="003238D8" w:rsidP="0069798A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  <w:kern w:val="0"/>
              </w:rPr>
              <w:t>screening at age 5</w:t>
            </w:r>
          </w:p>
        </w:tc>
        <w:tc>
          <w:tcPr>
            <w:tcW w:w="2250" w:type="dxa"/>
          </w:tcPr>
          <w:p w14:paraId="34A6FF93" w14:textId="36EF0B9C" w:rsidR="007B1CBF" w:rsidRPr="00430750" w:rsidRDefault="00BD3052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color w:val="0070C0"/>
              </w:rPr>
              <w:t>11.5268</w:t>
            </w:r>
          </w:p>
        </w:tc>
        <w:tc>
          <w:tcPr>
            <w:tcW w:w="2174" w:type="dxa"/>
          </w:tcPr>
          <w:p w14:paraId="05A773D6" w14:textId="7A93D45E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</w:rPr>
              <w:t>33.12</w:t>
            </w:r>
          </w:p>
        </w:tc>
        <w:tc>
          <w:tcPr>
            <w:tcW w:w="1961" w:type="dxa"/>
          </w:tcPr>
          <w:p w14:paraId="04138C86" w14:textId="7D8ACBB5" w:rsidR="007B1CBF" w:rsidRPr="00430750" w:rsidRDefault="0069798A" w:rsidP="0069798A">
            <w:pPr>
              <w:pStyle w:val="ListParagraph"/>
              <w:ind w:left="0"/>
              <w:jc w:val="center"/>
              <w:rPr>
                <w:rFonts w:cstheme="minorHAnsi"/>
                <w:color w:val="0070C0"/>
              </w:rPr>
            </w:pPr>
            <w:r w:rsidRPr="00430750">
              <w:rPr>
                <w:rFonts w:cstheme="minorHAnsi"/>
                <w:color w:val="0070C0"/>
                <w:kern w:val="0"/>
              </w:rPr>
              <w:t>48308.6</w:t>
            </w:r>
            <w:r w:rsidRPr="00430750">
              <w:rPr>
                <w:rFonts w:cstheme="minorHAnsi"/>
                <w:color w:val="0070C0"/>
                <w:kern w:val="0"/>
              </w:rPr>
              <w:t>3</w:t>
            </w:r>
          </w:p>
        </w:tc>
      </w:tr>
    </w:tbl>
    <w:p w14:paraId="59F260CF" w14:textId="77777777" w:rsidR="007B1CBF" w:rsidRPr="00430750" w:rsidRDefault="007B1CBF" w:rsidP="00D04F23">
      <w:pPr>
        <w:pStyle w:val="ListParagraph"/>
        <w:rPr>
          <w:rFonts w:cstheme="minorHAnsi"/>
          <w:color w:val="0070C0"/>
        </w:rPr>
      </w:pPr>
    </w:p>
    <w:p w14:paraId="0FE1150E" w14:textId="1B8874EC" w:rsidR="0069798A" w:rsidRPr="00430750" w:rsidRDefault="009A3DF4" w:rsidP="00D04F23">
      <w:pPr>
        <w:pStyle w:val="ListParagraph"/>
        <w:rPr>
          <w:rFonts w:cstheme="minorHAnsi"/>
          <w:color w:val="0070C0"/>
        </w:rPr>
      </w:pPr>
      <w:r w:rsidRPr="00430750">
        <w:rPr>
          <w:rFonts w:cstheme="minorHAnsi"/>
          <w:color w:val="0070C0"/>
        </w:rPr>
        <w:t>For a WTP of</w:t>
      </w:r>
      <w:r w:rsidR="0069798A" w:rsidRPr="00430750">
        <w:rPr>
          <w:rFonts w:cstheme="minorHAnsi"/>
          <w:color w:val="0070C0"/>
        </w:rPr>
        <w:t xml:space="preserve"> $1000/LY saved</w:t>
      </w:r>
      <w:r w:rsidRPr="00430750">
        <w:rPr>
          <w:rFonts w:cstheme="minorHAnsi"/>
          <w:color w:val="0070C0"/>
        </w:rPr>
        <w:t>, having a one-time screening at age 15 is the most optimal strategy.</w:t>
      </w:r>
      <w:r w:rsidR="0069798A" w:rsidRPr="00430750">
        <w:rPr>
          <w:rFonts w:cstheme="minorHAnsi"/>
          <w:color w:val="0070C0"/>
        </w:rPr>
        <w:t xml:space="preserve"> </w:t>
      </w:r>
    </w:p>
    <w:p w14:paraId="3E8A97C8" w14:textId="77777777" w:rsidR="00BC5DE0" w:rsidRPr="0069798A" w:rsidRDefault="00BC5DE0" w:rsidP="0069798A">
      <w:pPr>
        <w:rPr>
          <w:rFonts w:cstheme="minorHAnsi"/>
        </w:rPr>
      </w:pPr>
    </w:p>
    <w:p w14:paraId="1F453EE5" w14:textId="54531857" w:rsidR="00BC5DE0" w:rsidRDefault="00BC5DE0" w:rsidP="00BC5DE0">
      <w:pPr>
        <w:pStyle w:val="ListParagraph"/>
        <w:numPr>
          <w:ilvl w:val="0"/>
          <w:numId w:val="2"/>
        </w:numPr>
      </w:pPr>
      <w:r w:rsidRPr="00D04F23">
        <w:rPr>
          <w:rFonts w:cstheme="minorHAnsi"/>
        </w:rPr>
        <w:t>Revise your analysis to include uncertainty in the following variables (note that these priors have the same mean as the original point</w:t>
      </w:r>
      <w:r w:rsidRPr="00BC5DE0">
        <w:t xml:space="preserve"> estimates)</w:t>
      </w:r>
      <w:r>
        <w:t xml:space="preserve">. </w:t>
      </w:r>
      <w:r w:rsidRPr="00BC5DE0">
        <w:t>Based on these prior distributions, report a mean estimate and a 95% uncertainty interval for the life expectancy gain calculated in part (a). Does the mean equal the point estimate calculated in (a)? Why/why not?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55"/>
        <w:gridCol w:w="3060"/>
        <w:gridCol w:w="3415"/>
      </w:tblGrid>
      <w:tr w:rsidR="00430750" w:rsidRPr="00430750" w14:paraId="063F4467" w14:textId="77777777" w:rsidTr="0016343E">
        <w:tc>
          <w:tcPr>
            <w:tcW w:w="2155" w:type="dxa"/>
          </w:tcPr>
          <w:p w14:paraId="52D65D6A" w14:textId="7B0AAD12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Strategy</w:t>
            </w:r>
          </w:p>
        </w:tc>
        <w:tc>
          <w:tcPr>
            <w:tcW w:w="3060" w:type="dxa"/>
          </w:tcPr>
          <w:p w14:paraId="04CA978F" w14:textId="0F787C4B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Life Years</w:t>
            </w:r>
          </w:p>
        </w:tc>
        <w:tc>
          <w:tcPr>
            <w:tcW w:w="3415" w:type="dxa"/>
          </w:tcPr>
          <w:p w14:paraId="6B25050A" w14:textId="3C44BB4A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Cost</w:t>
            </w:r>
          </w:p>
        </w:tc>
      </w:tr>
      <w:tr w:rsidR="00430750" w:rsidRPr="00430750" w14:paraId="004C1070" w14:textId="77777777" w:rsidTr="0016343E">
        <w:tc>
          <w:tcPr>
            <w:tcW w:w="2155" w:type="dxa"/>
          </w:tcPr>
          <w:p w14:paraId="442FC8F5" w14:textId="38F92C6F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b/>
                <w:bCs/>
                <w:color w:val="0070C0"/>
              </w:rPr>
              <w:t>No screening</w:t>
            </w:r>
          </w:p>
        </w:tc>
        <w:tc>
          <w:tcPr>
            <w:tcW w:w="3060" w:type="dxa"/>
          </w:tcPr>
          <w:p w14:paraId="783D38EA" w14:textId="0E39E725" w:rsidR="001769A9" w:rsidRPr="00430750" w:rsidRDefault="0016343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</w:t>
            </w:r>
            <w:r w:rsidR="004B5809" w:rsidRPr="00430750">
              <w:rPr>
                <w:color w:val="0070C0"/>
              </w:rPr>
              <w:t>, 95% CI: (</w:t>
            </w:r>
            <w:r w:rsidRPr="00430750">
              <w:rPr>
                <w:color w:val="0070C0"/>
              </w:rPr>
              <w:t>11.526</w:t>
            </w:r>
            <w:r w:rsidRPr="00430750">
              <w:rPr>
                <w:color w:val="0070C0"/>
              </w:rPr>
              <w:t>5</w:t>
            </w:r>
            <w:r w:rsidR="004B5809" w:rsidRPr="00430750">
              <w:rPr>
                <w:color w:val="0070C0"/>
              </w:rPr>
              <w:t xml:space="preserve">, </w:t>
            </w:r>
            <w:r w:rsidRPr="00430750">
              <w:rPr>
                <w:color w:val="0070C0"/>
              </w:rPr>
              <w:t>11.5265</w:t>
            </w:r>
            <w:r w:rsidR="004B5809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5FBD6802" w14:textId="2F5C6774" w:rsidR="001769A9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0.1962, 95% CI: (0.1950, 0.1974)</w:t>
            </w:r>
          </w:p>
        </w:tc>
      </w:tr>
      <w:tr w:rsidR="00430750" w:rsidRPr="00430750" w14:paraId="5412158D" w14:textId="77777777" w:rsidTr="0016343E">
        <w:tc>
          <w:tcPr>
            <w:tcW w:w="2155" w:type="dxa"/>
          </w:tcPr>
          <w:p w14:paraId="011F47E6" w14:textId="2497E76A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lastRenderedPageBreak/>
              <w:t>screening at age 0</w:t>
            </w:r>
          </w:p>
        </w:tc>
        <w:tc>
          <w:tcPr>
            <w:tcW w:w="3060" w:type="dxa"/>
          </w:tcPr>
          <w:p w14:paraId="2815E04E" w14:textId="69E07C0F" w:rsidR="001769A9" w:rsidRPr="00430750" w:rsidRDefault="005A01A4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 (11.5265, 11.5265)</w:t>
            </w:r>
          </w:p>
        </w:tc>
        <w:tc>
          <w:tcPr>
            <w:tcW w:w="3415" w:type="dxa"/>
          </w:tcPr>
          <w:p w14:paraId="6A4AD674" w14:textId="41049CC3" w:rsidR="001769A9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19.2363, 95% CI: (18.8003, 19.6723)</w:t>
            </w:r>
          </w:p>
        </w:tc>
      </w:tr>
      <w:tr w:rsidR="00430750" w:rsidRPr="00430750" w14:paraId="4AAAF968" w14:textId="77777777" w:rsidTr="0016343E">
        <w:tc>
          <w:tcPr>
            <w:tcW w:w="2155" w:type="dxa"/>
          </w:tcPr>
          <w:p w14:paraId="54D1B443" w14:textId="3F3F14D8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5</w:t>
            </w:r>
          </w:p>
        </w:tc>
        <w:tc>
          <w:tcPr>
            <w:tcW w:w="3060" w:type="dxa"/>
          </w:tcPr>
          <w:p w14:paraId="0BFD59B7" w14:textId="1C880F5C" w:rsidR="001769A9" w:rsidRPr="00430750" w:rsidRDefault="00EE0FB7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</w:t>
            </w:r>
            <w:r w:rsidRPr="00430750">
              <w:rPr>
                <w:color w:val="0070C0"/>
              </w:rPr>
              <w:t>8</w:t>
            </w:r>
            <w:r w:rsidR="002972A7" w:rsidRPr="00430750">
              <w:rPr>
                <w:color w:val="0070C0"/>
              </w:rPr>
              <w:t>, 95% CI: (</w:t>
            </w:r>
            <w:r w:rsidRPr="00430750">
              <w:rPr>
                <w:color w:val="0070C0"/>
              </w:rPr>
              <w:t>11.526</w:t>
            </w:r>
            <w:r w:rsidRPr="00430750">
              <w:rPr>
                <w:color w:val="0070C0"/>
              </w:rPr>
              <w:t>8</w:t>
            </w:r>
            <w:r w:rsidR="002972A7" w:rsidRPr="00430750">
              <w:rPr>
                <w:color w:val="0070C0"/>
              </w:rPr>
              <w:t xml:space="preserve">, </w:t>
            </w:r>
            <w:r w:rsidRPr="00430750">
              <w:rPr>
                <w:color w:val="0070C0"/>
              </w:rPr>
              <w:t>11.5267</w:t>
            </w:r>
            <w:r w:rsidR="002972A7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11678020" w14:textId="1D53234E" w:rsidR="001769A9" w:rsidRPr="00430750" w:rsidRDefault="005A01A4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32.8291, 95% CI: (32.4264, 33.2318</w:t>
            </w:r>
            <w:r w:rsidRPr="00430750">
              <w:rPr>
                <w:color w:val="0070C0"/>
              </w:rPr>
              <w:t>)</w:t>
            </w:r>
          </w:p>
        </w:tc>
      </w:tr>
      <w:tr w:rsidR="00430750" w:rsidRPr="00430750" w14:paraId="4B1218E1" w14:textId="77777777" w:rsidTr="0016343E">
        <w:tc>
          <w:tcPr>
            <w:tcW w:w="2155" w:type="dxa"/>
          </w:tcPr>
          <w:p w14:paraId="1C2EE3F3" w14:textId="720F7D34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1</w:t>
            </w:r>
            <w:r w:rsidRPr="00430750">
              <w:rPr>
                <w:rFonts w:cstheme="minorHAnsi"/>
                <w:b/>
                <w:bCs/>
                <w:color w:val="0070C0"/>
              </w:rPr>
              <w:t>0</w:t>
            </w:r>
          </w:p>
        </w:tc>
        <w:tc>
          <w:tcPr>
            <w:tcW w:w="3060" w:type="dxa"/>
          </w:tcPr>
          <w:p w14:paraId="4DEB9A99" w14:textId="53E1E193" w:rsidR="001769A9" w:rsidRPr="00430750" w:rsidRDefault="00F017CF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11.52655</w:t>
            </w:r>
            <w:r w:rsidR="002972A7" w:rsidRPr="00430750">
              <w:rPr>
                <w:color w:val="0070C0"/>
              </w:rPr>
              <w:t>, 95% CI: (</w:t>
            </w:r>
            <w:r w:rsidR="00F21080" w:rsidRPr="00430750">
              <w:rPr>
                <w:color w:val="0070C0"/>
              </w:rPr>
              <w:t>11.5265</w:t>
            </w:r>
            <w:r w:rsidR="002972A7" w:rsidRPr="00430750">
              <w:rPr>
                <w:color w:val="0070C0"/>
              </w:rPr>
              <w:t xml:space="preserve">, </w:t>
            </w:r>
            <w:r w:rsidR="00F21080" w:rsidRPr="00430750">
              <w:rPr>
                <w:color w:val="0070C0"/>
              </w:rPr>
              <w:t>11.526</w:t>
            </w:r>
            <w:r w:rsidR="00F21080" w:rsidRPr="00430750">
              <w:rPr>
                <w:color w:val="0070C0"/>
              </w:rPr>
              <w:t>6</w:t>
            </w:r>
            <w:r w:rsidR="002972A7"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6296B7B2" w14:textId="44E5156D" w:rsidR="001769A9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36.9828, 95% CI: (36.6335, 37.3321)</w:t>
            </w:r>
          </w:p>
        </w:tc>
      </w:tr>
      <w:tr w:rsidR="00430750" w:rsidRPr="00430750" w14:paraId="4548EB24" w14:textId="77777777" w:rsidTr="0016343E">
        <w:tc>
          <w:tcPr>
            <w:tcW w:w="2155" w:type="dxa"/>
          </w:tcPr>
          <w:p w14:paraId="10515B30" w14:textId="7A4EE350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15</w:t>
            </w:r>
          </w:p>
        </w:tc>
        <w:tc>
          <w:tcPr>
            <w:tcW w:w="3060" w:type="dxa"/>
          </w:tcPr>
          <w:p w14:paraId="1C24060C" w14:textId="11B2CC14" w:rsidR="001769A9" w:rsidRPr="00430750" w:rsidRDefault="002972A7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11.5265, 95% CI: (</w:t>
            </w:r>
            <w:r w:rsidR="00EE1AEE" w:rsidRPr="00430750">
              <w:rPr>
                <w:color w:val="0070C0"/>
              </w:rPr>
              <w:t>11.5265</w:t>
            </w:r>
            <w:r w:rsidRPr="00430750">
              <w:rPr>
                <w:color w:val="0070C0"/>
              </w:rPr>
              <w:t xml:space="preserve">, </w:t>
            </w:r>
            <w:r w:rsidR="00EE1AEE" w:rsidRPr="00430750">
              <w:rPr>
                <w:color w:val="0070C0"/>
              </w:rPr>
              <w:t>11.526</w:t>
            </w:r>
            <w:r w:rsidR="00EE1AEE" w:rsidRPr="00430750">
              <w:rPr>
                <w:color w:val="0070C0"/>
              </w:rPr>
              <w:t>6</w:t>
            </w:r>
            <w:r w:rsidRPr="00430750">
              <w:rPr>
                <w:color w:val="0070C0"/>
              </w:rPr>
              <w:t>)</w:t>
            </w:r>
          </w:p>
        </w:tc>
        <w:tc>
          <w:tcPr>
            <w:tcW w:w="3415" w:type="dxa"/>
          </w:tcPr>
          <w:p w14:paraId="2D08CA62" w14:textId="2717A74B" w:rsidR="001769A9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0.1969, 95% CI: (0.1956, 0.1981)</w:t>
            </w:r>
          </w:p>
        </w:tc>
      </w:tr>
      <w:tr w:rsidR="00430750" w:rsidRPr="00430750" w14:paraId="2BB39F7A" w14:textId="77777777" w:rsidTr="0016343E">
        <w:tc>
          <w:tcPr>
            <w:tcW w:w="2155" w:type="dxa"/>
          </w:tcPr>
          <w:p w14:paraId="1971A03E" w14:textId="3F9EEC6C" w:rsidR="001769A9" w:rsidRPr="00430750" w:rsidRDefault="001769A9" w:rsidP="00EE1AEE">
            <w:pPr>
              <w:pStyle w:val="ListParagraph"/>
              <w:ind w:left="0"/>
              <w:jc w:val="center"/>
              <w:rPr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 xml:space="preserve">screening at age </w:t>
            </w:r>
            <w:r w:rsidR="006508D4" w:rsidRPr="00430750">
              <w:rPr>
                <w:rFonts w:cstheme="minorHAnsi"/>
                <w:b/>
                <w:bCs/>
                <w:color w:val="0070C0"/>
              </w:rPr>
              <w:t>20</w:t>
            </w:r>
          </w:p>
        </w:tc>
        <w:tc>
          <w:tcPr>
            <w:tcW w:w="3060" w:type="dxa"/>
          </w:tcPr>
          <w:p w14:paraId="371D2E09" w14:textId="3DEF7F34" w:rsidR="001769A9" w:rsidRPr="00430750" w:rsidRDefault="0016343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11.5265, 95% CI: (11.5265, 11.5265)</w:t>
            </w:r>
          </w:p>
        </w:tc>
        <w:tc>
          <w:tcPr>
            <w:tcW w:w="3415" w:type="dxa"/>
          </w:tcPr>
          <w:p w14:paraId="757BDBFE" w14:textId="04E7C69A" w:rsidR="001769A9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0.1962, 95% CI: (0.1949, 0.1974)</w:t>
            </w:r>
          </w:p>
        </w:tc>
      </w:tr>
      <w:tr w:rsidR="00430750" w:rsidRPr="00430750" w14:paraId="55E9A490" w14:textId="77777777" w:rsidTr="0016343E">
        <w:tc>
          <w:tcPr>
            <w:tcW w:w="2155" w:type="dxa"/>
          </w:tcPr>
          <w:p w14:paraId="6F6C7ED0" w14:textId="08BB3C2D" w:rsidR="006508D4" w:rsidRPr="00430750" w:rsidRDefault="006508D4" w:rsidP="00EE1AEE">
            <w:pPr>
              <w:pStyle w:val="ListParagraph"/>
              <w:ind w:left="0"/>
              <w:jc w:val="center"/>
              <w:rPr>
                <w:rFonts w:cstheme="minorHAnsi"/>
                <w:b/>
                <w:bCs/>
                <w:color w:val="0070C0"/>
              </w:rPr>
            </w:pPr>
            <w:r w:rsidRPr="00430750">
              <w:rPr>
                <w:rFonts w:cstheme="minorHAnsi"/>
                <w:b/>
                <w:bCs/>
                <w:color w:val="0070C0"/>
              </w:rPr>
              <w:t>screening at age 2</w:t>
            </w:r>
            <w:r w:rsidRPr="00430750">
              <w:rPr>
                <w:rFonts w:cstheme="minorHAnsi"/>
                <w:b/>
                <w:bCs/>
                <w:color w:val="0070C0"/>
              </w:rPr>
              <w:t>5</w:t>
            </w:r>
          </w:p>
        </w:tc>
        <w:tc>
          <w:tcPr>
            <w:tcW w:w="3060" w:type="dxa"/>
          </w:tcPr>
          <w:p w14:paraId="3049E0AF" w14:textId="27EFD525" w:rsidR="006508D4" w:rsidRPr="00430750" w:rsidRDefault="0016343E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11.5265, 95% CI: (11.5265, 11.5265)</w:t>
            </w:r>
          </w:p>
        </w:tc>
        <w:tc>
          <w:tcPr>
            <w:tcW w:w="3415" w:type="dxa"/>
          </w:tcPr>
          <w:p w14:paraId="1D3D5B70" w14:textId="06FF5FE5" w:rsidR="006508D4" w:rsidRPr="00430750" w:rsidRDefault="00E873DA" w:rsidP="00EE1AEE">
            <w:pPr>
              <w:pStyle w:val="ListParagraph"/>
              <w:ind w:left="0"/>
              <w:jc w:val="center"/>
              <w:rPr>
                <w:color w:val="0070C0"/>
              </w:rPr>
            </w:pPr>
            <w:r w:rsidRPr="00430750">
              <w:rPr>
                <w:color w:val="0070C0"/>
              </w:rPr>
              <w:t>0.1963, 95% CI: (0.1950, 0.1976)</w:t>
            </w:r>
          </w:p>
        </w:tc>
      </w:tr>
    </w:tbl>
    <w:p w14:paraId="7C300AC2" w14:textId="77777777" w:rsidR="001769A9" w:rsidRPr="00430750" w:rsidRDefault="001769A9" w:rsidP="001769A9">
      <w:pPr>
        <w:pStyle w:val="ListParagraph"/>
        <w:rPr>
          <w:color w:val="0070C0"/>
        </w:rPr>
      </w:pPr>
    </w:p>
    <w:p w14:paraId="53C58825" w14:textId="33A0BBCE" w:rsidR="007500C5" w:rsidRPr="00430750" w:rsidRDefault="007500C5" w:rsidP="001769A9">
      <w:pPr>
        <w:pStyle w:val="ListParagraph"/>
        <w:rPr>
          <w:color w:val="0070C0"/>
        </w:rPr>
      </w:pPr>
      <w:r w:rsidRPr="00430750">
        <w:rPr>
          <w:color w:val="0070C0"/>
        </w:rPr>
        <w:t xml:space="preserve">Mean value equals the point estimate calculated in a). </w:t>
      </w:r>
      <w:r w:rsidR="00E71F0F" w:rsidRPr="00430750">
        <w:rPr>
          <w:color w:val="0070C0"/>
        </w:rPr>
        <w:t xml:space="preserve">Parameters used for prior distributions have the same mean as the original point estimates. With </w:t>
      </w:r>
      <w:r w:rsidR="000E26CC" w:rsidRPr="00430750">
        <w:rPr>
          <w:color w:val="0070C0"/>
        </w:rPr>
        <w:t xml:space="preserve">the Law of Large Numbers, increasing the number of simulations can bring the sample values closer to the population value. </w:t>
      </w:r>
    </w:p>
    <w:p w14:paraId="088A0B41" w14:textId="77777777" w:rsidR="009A3DF4" w:rsidRDefault="009A3DF4" w:rsidP="00EE1AEE"/>
    <w:p w14:paraId="317D3597" w14:textId="7BE153C2" w:rsidR="00BC5DE0" w:rsidRDefault="00BC5DE0" w:rsidP="00BC5DE0">
      <w:pPr>
        <w:pStyle w:val="ListParagraph"/>
        <w:numPr>
          <w:ilvl w:val="0"/>
          <w:numId w:val="2"/>
        </w:numPr>
      </w:pPr>
      <w:r w:rsidRPr="00BC5DE0">
        <w:t>Report the uncertainty in your cost-effectiveness results as a cost-effectiveness acceptability curve. At a WTP of $1000 per LY saved, what is the probability that the strategy identified in (b) is optimal?</w:t>
      </w:r>
    </w:p>
    <w:p w14:paraId="275F1DD8" w14:textId="09A03901" w:rsidR="00F7015A" w:rsidRDefault="00430750" w:rsidP="00430750">
      <w:pPr>
        <w:jc w:val="center"/>
      </w:pPr>
      <w:r>
        <w:rPr>
          <w:noProof/>
        </w:rPr>
        <w:drawing>
          <wp:inline distT="0" distB="0" distL="0" distR="0" wp14:anchorId="7496C43B" wp14:editId="1D8CB9EF">
            <wp:extent cx="3788229" cy="2935429"/>
            <wp:effectExtent l="0" t="0" r="0" b="0"/>
            <wp:docPr id="1772336604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6604" name="Picture 1" descr="A graph with blu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036" cy="2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E5B9D" w14:textId="77777777" w:rsidR="00F7015A" w:rsidRDefault="00F7015A" w:rsidP="00F7015A"/>
    <w:p w14:paraId="2C89ACD4" w14:textId="08886350" w:rsidR="000E26CC" w:rsidRPr="00430750" w:rsidRDefault="00B73353" w:rsidP="000E26CC">
      <w:pPr>
        <w:pStyle w:val="ListParagraph"/>
        <w:rPr>
          <w:color w:val="0070C0"/>
        </w:rPr>
      </w:pPr>
      <w:r w:rsidRPr="00430750">
        <w:rPr>
          <w:color w:val="0070C0"/>
        </w:rPr>
        <w:t>The strategy identified in (b)</w:t>
      </w:r>
      <w:r w:rsidR="008F23E9" w:rsidRPr="00430750">
        <w:rPr>
          <w:color w:val="0070C0"/>
        </w:rPr>
        <w:t xml:space="preserve"> (having a one-time screening at age 15) has the probability of </w:t>
      </w:r>
      <w:r w:rsidR="00812582" w:rsidRPr="00430750">
        <w:rPr>
          <w:color w:val="0070C0"/>
        </w:rPr>
        <w:t>99.7% of being cost effective at the WTP of $1000/LY</w:t>
      </w:r>
      <w:r w:rsidR="00F7015A" w:rsidRPr="00430750">
        <w:rPr>
          <w:color w:val="0070C0"/>
        </w:rPr>
        <w:t xml:space="preserve"> with 1000 simulation runs. </w:t>
      </w:r>
    </w:p>
    <w:sectPr w:rsidR="000E26CC" w:rsidRPr="0043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D3D0B"/>
    <w:multiLevelType w:val="hybridMultilevel"/>
    <w:tmpl w:val="0A744682"/>
    <w:lvl w:ilvl="0" w:tplc="0A70B6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DF78AD"/>
    <w:multiLevelType w:val="hybridMultilevel"/>
    <w:tmpl w:val="6B2254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71CA6"/>
    <w:multiLevelType w:val="hybridMultilevel"/>
    <w:tmpl w:val="3C722C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A10B9"/>
    <w:multiLevelType w:val="hybridMultilevel"/>
    <w:tmpl w:val="D44E3368"/>
    <w:lvl w:ilvl="0" w:tplc="1CF40F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1788859">
    <w:abstractNumId w:val="2"/>
  </w:num>
  <w:num w:numId="2" w16cid:durableId="220216655">
    <w:abstractNumId w:val="1"/>
  </w:num>
  <w:num w:numId="3" w16cid:durableId="386495986">
    <w:abstractNumId w:val="3"/>
  </w:num>
  <w:num w:numId="4" w16cid:durableId="979653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E0"/>
    <w:rsid w:val="00005611"/>
    <w:rsid w:val="00005B56"/>
    <w:rsid w:val="0003069B"/>
    <w:rsid w:val="000456D2"/>
    <w:rsid w:val="0004574D"/>
    <w:rsid w:val="00063837"/>
    <w:rsid w:val="00073EA4"/>
    <w:rsid w:val="00074EEC"/>
    <w:rsid w:val="00093948"/>
    <w:rsid w:val="000A0C3C"/>
    <w:rsid w:val="000A0E7E"/>
    <w:rsid w:val="000A3806"/>
    <w:rsid w:val="000C0F99"/>
    <w:rsid w:val="000C3E27"/>
    <w:rsid w:val="000C6890"/>
    <w:rsid w:val="000C6FD9"/>
    <w:rsid w:val="000D185D"/>
    <w:rsid w:val="000E26CC"/>
    <w:rsid w:val="000E6FB4"/>
    <w:rsid w:val="000F2340"/>
    <w:rsid w:val="000F7F53"/>
    <w:rsid w:val="001076E3"/>
    <w:rsid w:val="001150D4"/>
    <w:rsid w:val="0012509C"/>
    <w:rsid w:val="00126FEE"/>
    <w:rsid w:val="00147C8C"/>
    <w:rsid w:val="00150854"/>
    <w:rsid w:val="00153B50"/>
    <w:rsid w:val="00156428"/>
    <w:rsid w:val="0016343E"/>
    <w:rsid w:val="00165396"/>
    <w:rsid w:val="001732D2"/>
    <w:rsid w:val="001769A9"/>
    <w:rsid w:val="0018123C"/>
    <w:rsid w:val="001A5968"/>
    <w:rsid w:val="001A6AC7"/>
    <w:rsid w:val="001E727D"/>
    <w:rsid w:val="001E766A"/>
    <w:rsid w:val="0020335D"/>
    <w:rsid w:val="0020360F"/>
    <w:rsid w:val="00210565"/>
    <w:rsid w:val="0026429A"/>
    <w:rsid w:val="00272D9C"/>
    <w:rsid w:val="00287645"/>
    <w:rsid w:val="002906F8"/>
    <w:rsid w:val="002972A7"/>
    <w:rsid w:val="002A0DF5"/>
    <w:rsid w:val="002B62FA"/>
    <w:rsid w:val="002B7C5F"/>
    <w:rsid w:val="002C3AF6"/>
    <w:rsid w:val="002D7609"/>
    <w:rsid w:val="002F0CA2"/>
    <w:rsid w:val="003016F4"/>
    <w:rsid w:val="00315711"/>
    <w:rsid w:val="003238D8"/>
    <w:rsid w:val="00331839"/>
    <w:rsid w:val="00333848"/>
    <w:rsid w:val="00340C0B"/>
    <w:rsid w:val="00346579"/>
    <w:rsid w:val="00354EB7"/>
    <w:rsid w:val="003650FC"/>
    <w:rsid w:val="0036744C"/>
    <w:rsid w:val="003872B3"/>
    <w:rsid w:val="00393B81"/>
    <w:rsid w:val="003B1A5D"/>
    <w:rsid w:val="003B5E93"/>
    <w:rsid w:val="003C2AD0"/>
    <w:rsid w:val="003D2B0C"/>
    <w:rsid w:val="003D576B"/>
    <w:rsid w:val="003E687D"/>
    <w:rsid w:val="00413652"/>
    <w:rsid w:val="004178CD"/>
    <w:rsid w:val="004267BA"/>
    <w:rsid w:val="00430750"/>
    <w:rsid w:val="004456CB"/>
    <w:rsid w:val="00452D28"/>
    <w:rsid w:val="00464718"/>
    <w:rsid w:val="00475835"/>
    <w:rsid w:val="0049683F"/>
    <w:rsid w:val="004B5809"/>
    <w:rsid w:val="004C558F"/>
    <w:rsid w:val="004D1CCE"/>
    <w:rsid w:val="004E70ED"/>
    <w:rsid w:val="004F1148"/>
    <w:rsid w:val="005158C8"/>
    <w:rsid w:val="00541157"/>
    <w:rsid w:val="00541A28"/>
    <w:rsid w:val="005443FB"/>
    <w:rsid w:val="00544F64"/>
    <w:rsid w:val="0054653F"/>
    <w:rsid w:val="00547C7C"/>
    <w:rsid w:val="0056446A"/>
    <w:rsid w:val="00597044"/>
    <w:rsid w:val="00597441"/>
    <w:rsid w:val="005A01A4"/>
    <w:rsid w:val="005A4449"/>
    <w:rsid w:val="005A4E05"/>
    <w:rsid w:val="005B19BB"/>
    <w:rsid w:val="005D3A47"/>
    <w:rsid w:val="006112E6"/>
    <w:rsid w:val="00616C24"/>
    <w:rsid w:val="00617AA9"/>
    <w:rsid w:val="00630E50"/>
    <w:rsid w:val="00632259"/>
    <w:rsid w:val="00634D2D"/>
    <w:rsid w:val="00634D55"/>
    <w:rsid w:val="00635893"/>
    <w:rsid w:val="00642C2C"/>
    <w:rsid w:val="00644FE3"/>
    <w:rsid w:val="0064772C"/>
    <w:rsid w:val="006508D4"/>
    <w:rsid w:val="00656801"/>
    <w:rsid w:val="006615A0"/>
    <w:rsid w:val="006804D3"/>
    <w:rsid w:val="00692C54"/>
    <w:rsid w:val="0069798A"/>
    <w:rsid w:val="006B71D7"/>
    <w:rsid w:val="006B747B"/>
    <w:rsid w:val="006D0889"/>
    <w:rsid w:val="006F017E"/>
    <w:rsid w:val="007015F6"/>
    <w:rsid w:val="0071138A"/>
    <w:rsid w:val="00711FC8"/>
    <w:rsid w:val="00712BDC"/>
    <w:rsid w:val="007500C5"/>
    <w:rsid w:val="00751CAF"/>
    <w:rsid w:val="007558D0"/>
    <w:rsid w:val="00757E84"/>
    <w:rsid w:val="007619E6"/>
    <w:rsid w:val="00776C34"/>
    <w:rsid w:val="007913E6"/>
    <w:rsid w:val="0079758E"/>
    <w:rsid w:val="007A355B"/>
    <w:rsid w:val="007B1CBF"/>
    <w:rsid w:val="007D3D53"/>
    <w:rsid w:val="007D4AAB"/>
    <w:rsid w:val="007E097B"/>
    <w:rsid w:val="007E6E01"/>
    <w:rsid w:val="008030E0"/>
    <w:rsid w:val="00805E39"/>
    <w:rsid w:val="0080652D"/>
    <w:rsid w:val="00807B13"/>
    <w:rsid w:val="00812582"/>
    <w:rsid w:val="008538E8"/>
    <w:rsid w:val="00862ACC"/>
    <w:rsid w:val="00867153"/>
    <w:rsid w:val="0087344E"/>
    <w:rsid w:val="00887EFB"/>
    <w:rsid w:val="008A2AF4"/>
    <w:rsid w:val="008A4FF1"/>
    <w:rsid w:val="008A577A"/>
    <w:rsid w:val="008B06E0"/>
    <w:rsid w:val="008B2DCB"/>
    <w:rsid w:val="008D6700"/>
    <w:rsid w:val="008D7E4B"/>
    <w:rsid w:val="008E3793"/>
    <w:rsid w:val="008F23E9"/>
    <w:rsid w:val="009036DE"/>
    <w:rsid w:val="00907674"/>
    <w:rsid w:val="009118A1"/>
    <w:rsid w:val="00913BB4"/>
    <w:rsid w:val="009146CE"/>
    <w:rsid w:val="009233C6"/>
    <w:rsid w:val="00933479"/>
    <w:rsid w:val="009406E7"/>
    <w:rsid w:val="009440C7"/>
    <w:rsid w:val="00944AF7"/>
    <w:rsid w:val="009513EA"/>
    <w:rsid w:val="00954708"/>
    <w:rsid w:val="00954FC8"/>
    <w:rsid w:val="00957DC4"/>
    <w:rsid w:val="00975C76"/>
    <w:rsid w:val="00987956"/>
    <w:rsid w:val="0099694D"/>
    <w:rsid w:val="009A3DF4"/>
    <w:rsid w:val="009A7AFB"/>
    <w:rsid w:val="009B7F4B"/>
    <w:rsid w:val="009C3559"/>
    <w:rsid w:val="009D64CF"/>
    <w:rsid w:val="00A010CA"/>
    <w:rsid w:val="00A45487"/>
    <w:rsid w:val="00A56A15"/>
    <w:rsid w:val="00A60EB4"/>
    <w:rsid w:val="00A735F1"/>
    <w:rsid w:val="00A74B99"/>
    <w:rsid w:val="00A82821"/>
    <w:rsid w:val="00A85004"/>
    <w:rsid w:val="00A90DD4"/>
    <w:rsid w:val="00A93098"/>
    <w:rsid w:val="00AB4ADA"/>
    <w:rsid w:val="00AC2271"/>
    <w:rsid w:val="00AD76FD"/>
    <w:rsid w:val="00AE183C"/>
    <w:rsid w:val="00B37971"/>
    <w:rsid w:val="00B44865"/>
    <w:rsid w:val="00B5198E"/>
    <w:rsid w:val="00B73353"/>
    <w:rsid w:val="00BA2962"/>
    <w:rsid w:val="00BA5111"/>
    <w:rsid w:val="00BB5A3E"/>
    <w:rsid w:val="00BC5DE0"/>
    <w:rsid w:val="00BC6E6E"/>
    <w:rsid w:val="00BD0FC0"/>
    <w:rsid w:val="00BD3052"/>
    <w:rsid w:val="00BD4643"/>
    <w:rsid w:val="00BD609D"/>
    <w:rsid w:val="00BE583E"/>
    <w:rsid w:val="00C02659"/>
    <w:rsid w:val="00C146C0"/>
    <w:rsid w:val="00C229D8"/>
    <w:rsid w:val="00C24216"/>
    <w:rsid w:val="00C253F5"/>
    <w:rsid w:val="00C27F1A"/>
    <w:rsid w:val="00C418FD"/>
    <w:rsid w:val="00C53330"/>
    <w:rsid w:val="00C81B13"/>
    <w:rsid w:val="00C83588"/>
    <w:rsid w:val="00C923FE"/>
    <w:rsid w:val="00C97CDF"/>
    <w:rsid w:val="00CA7DEE"/>
    <w:rsid w:val="00CB253F"/>
    <w:rsid w:val="00CB4730"/>
    <w:rsid w:val="00CB5F26"/>
    <w:rsid w:val="00CC6227"/>
    <w:rsid w:val="00CE0539"/>
    <w:rsid w:val="00CE4610"/>
    <w:rsid w:val="00D04F23"/>
    <w:rsid w:val="00D155D9"/>
    <w:rsid w:val="00D544E5"/>
    <w:rsid w:val="00D86570"/>
    <w:rsid w:val="00DA50E0"/>
    <w:rsid w:val="00DA6C84"/>
    <w:rsid w:val="00DB2DFA"/>
    <w:rsid w:val="00DB41CA"/>
    <w:rsid w:val="00DB6268"/>
    <w:rsid w:val="00DC4188"/>
    <w:rsid w:val="00DC4627"/>
    <w:rsid w:val="00DD561D"/>
    <w:rsid w:val="00DE1593"/>
    <w:rsid w:val="00DE2AD1"/>
    <w:rsid w:val="00DE389C"/>
    <w:rsid w:val="00DF41E3"/>
    <w:rsid w:val="00E160AB"/>
    <w:rsid w:val="00E16BC3"/>
    <w:rsid w:val="00E41DE9"/>
    <w:rsid w:val="00E512F6"/>
    <w:rsid w:val="00E55D32"/>
    <w:rsid w:val="00E71F0F"/>
    <w:rsid w:val="00E74E5E"/>
    <w:rsid w:val="00E850F5"/>
    <w:rsid w:val="00E873DA"/>
    <w:rsid w:val="00E93525"/>
    <w:rsid w:val="00E9461F"/>
    <w:rsid w:val="00E97955"/>
    <w:rsid w:val="00EA092A"/>
    <w:rsid w:val="00EB65B9"/>
    <w:rsid w:val="00EB7F5A"/>
    <w:rsid w:val="00EC195D"/>
    <w:rsid w:val="00EE0FB7"/>
    <w:rsid w:val="00EE1AEE"/>
    <w:rsid w:val="00EF3820"/>
    <w:rsid w:val="00F017CF"/>
    <w:rsid w:val="00F12042"/>
    <w:rsid w:val="00F15177"/>
    <w:rsid w:val="00F15D77"/>
    <w:rsid w:val="00F21080"/>
    <w:rsid w:val="00F25685"/>
    <w:rsid w:val="00F32129"/>
    <w:rsid w:val="00F44919"/>
    <w:rsid w:val="00F7015A"/>
    <w:rsid w:val="00F74AF3"/>
    <w:rsid w:val="00F872DA"/>
    <w:rsid w:val="00FA0731"/>
    <w:rsid w:val="00FA1B70"/>
    <w:rsid w:val="00FA6681"/>
    <w:rsid w:val="00FC79C5"/>
    <w:rsid w:val="00FD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49EF9"/>
  <w15:chartTrackingRefBased/>
  <w15:docId w15:val="{B098C18C-485E-2848-9C11-C9BB9795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5DE0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C5DE0"/>
  </w:style>
  <w:style w:type="character" w:customStyle="1" w:styleId="DateChar">
    <w:name w:val="Date Char"/>
    <w:basedOn w:val="DefaultParagraphFont"/>
    <w:link w:val="Date"/>
    <w:uiPriority w:val="99"/>
    <w:semiHidden/>
    <w:rsid w:val="00BC5DE0"/>
  </w:style>
  <w:style w:type="table" w:styleId="TableGrid">
    <w:name w:val="Table Grid"/>
    <w:basedOn w:val="TableNormal"/>
    <w:uiPriority w:val="39"/>
    <w:rsid w:val="007B1C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Kun-Woo R</dc:creator>
  <cp:keywords/>
  <dc:description/>
  <cp:lastModifiedBy>Kim, Kun-Woo R</cp:lastModifiedBy>
  <cp:revision>51</cp:revision>
  <dcterms:created xsi:type="dcterms:W3CDTF">2023-08-25T17:43:00Z</dcterms:created>
  <dcterms:modified xsi:type="dcterms:W3CDTF">2023-08-25T19:12:00Z</dcterms:modified>
</cp:coreProperties>
</file>