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14732" w14:textId="77777777" w:rsidR="006662CA" w:rsidRDefault="00404FAB">
      <w:pPr>
        <w:pStyle w:val="Title"/>
      </w:pPr>
      <w:r>
        <w:t>Correction: Measuring Stability and Change in Personal Culture Using Panel Data</w:t>
      </w:r>
    </w:p>
    <w:p w14:paraId="6E4509F9" w14:textId="77777777" w:rsidR="006662CA" w:rsidRDefault="00404FAB">
      <w:pPr>
        <w:pStyle w:val="Author"/>
      </w:pPr>
      <w:r>
        <w:t>Kevin Kiley</w:t>
      </w:r>
    </w:p>
    <w:p w14:paraId="699C9A3A" w14:textId="77777777" w:rsidR="006662CA" w:rsidRDefault="00404FAB">
      <w:pPr>
        <w:pStyle w:val="Author"/>
      </w:pPr>
      <w:r>
        <w:t>Stephen Vaisey</w:t>
      </w:r>
    </w:p>
    <w:p w14:paraId="37D59E2E" w14:textId="77777777" w:rsidR="006662CA" w:rsidRDefault="00404FAB">
      <w:pPr>
        <w:pStyle w:val="Date"/>
      </w:pPr>
      <w:r>
        <w:t>1/3/2022</w:t>
      </w:r>
    </w:p>
    <w:p w14:paraId="19220EE6" w14:textId="77777777" w:rsidR="006662CA" w:rsidRDefault="00404FAB">
      <w:pPr>
        <w:pStyle w:val="FirstParagraph"/>
      </w:pPr>
      <w:r>
        <w:t xml:space="preserve">We recently discovered that an error in the R source code for a function we used in the original analysis for our 2020 ASR paper, “Measuring Stability and Change in Personal Culture Using Panel Data,” led to erroneous results, and we would like to correct </w:t>
      </w:r>
      <w:r>
        <w:t>the record. Correcting this bug in the function, in which survey weights were incorrectly applied to residuals twice (rather than once) in calculating the log likelihood of non-linear least squares models, changes how we classify some items as showing eith</w:t>
      </w:r>
      <w:r>
        <w:t>er “settled dispositions” or “active updating” throughout the paper. It does not affect the overall pattern of results or our substantive interpretations of those results. We stand by the general claims we made in the paper, which we reproduced with altern</w:t>
      </w:r>
      <w:r>
        <w:t>ative methods elsewhere (Vaisey and Kiley 2021).</w:t>
      </w:r>
    </w:p>
    <w:p w14:paraId="4AA24C45" w14:textId="77777777" w:rsidR="006662CA" w:rsidRDefault="00404FAB">
      <w:pPr>
        <w:pStyle w:val="BodyText"/>
      </w:pPr>
      <w:r>
        <w:t>In our original paper, we estimated two non-linear least squares models – one that modeled changes within people over time as random departures from a settled baseline, which we called a “settled disposition</w:t>
      </w:r>
      <w:r>
        <w:t>s model,” and one that modeled changes within people over time as durable updates, which we called an “active updating model” – for 183 items, including several composite scales, from the General Social Survey’s rotating three-wave panels. We then compared</w:t>
      </w:r>
      <w:r>
        <w:t xml:space="preserve"> the fit of these two models using the Bayesian Information Criterion to evaluate which model better fit the observed data. We found the settled dispositions model was preferred for 75 questions, meaning there was no evidence of durable change for these it</w:t>
      </w:r>
      <w:r>
        <w:t>ems. We also found that even for questions where there was evidence of durable change, most change was not durable.</w:t>
      </w:r>
    </w:p>
    <w:p w14:paraId="4F54CE2E" w14:textId="77777777" w:rsidR="006662CA" w:rsidRDefault="00404FAB">
      <w:pPr>
        <w:pStyle w:val="BodyText"/>
      </w:pPr>
      <w:r>
        <w:lastRenderedPageBreak/>
        <w:t>We conducted this analysis using R version 3.5.3. In versions of R prior to 4.0.3, there were two errors in the way R calculated the log lik</w:t>
      </w:r>
      <w:r>
        <w:t>elihood of non-linear least squares models, which resulted in an incorrect calculation of the Bayesian Information Criterion. This led to errors in how we judged the two models against each other.</w:t>
      </w:r>
    </w:p>
    <w:p w14:paraId="03768FC2" w14:textId="77777777" w:rsidR="006662CA" w:rsidRDefault="00404FAB">
      <w:pPr>
        <w:pStyle w:val="BodyText"/>
      </w:pPr>
      <w:r>
        <w:t>In versions of R prior to 4.0.3, the log likelihood of non-</w:t>
      </w:r>
      <w:r>
        <w:t>linear least squares models was calculated as:</w:t>
      </w:r>
    </w:p>
    <w:p w14:paraId="7675BF2B" w14:textId="77777777" w:rsidR="006662CA" w:rsidRDefault="00404FAB">
      <w:pPr>
        <w:pStyle w:val="BodyText"/>
      </w:pPr>
      <m:oMathPara>
        <m:oMathParaPr>
          <m:jc m:val="center"/>
        </m:oMathParaPr>
        <m:oMath>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m:rPr>
              <m:sty m:val="p"/>
            </m:rPr>
            <w:rPr>
              <w:rFonts w:ascii="Cambria Math" w:hAnsi="Cambria Math"/>
            </w:rPr>
            <m:t>(</m:t>
          </m:r>
          <m:r>
            <w:rPr>
              <w:rFonts w:ascii="Cambria Math" w:hAnsi="Cambria Math"/>
            </w:rPr>
            <m:t>log</m:t>
          </m:r>
          <m:r>
            <m:rPr>
              <m:sty m:val="p"/>
            </m:rPr>
            <w:rPr>
              <w:rFonts w:ascii="Cambria Math" w:hAnsi="Cambria Math"/>
            </w:rPr>
            <m:t>(</m:t>
          </m:r>
          <m:r>
            <w:rPr>
              <w:rFonts w:ascii="Cambria Math" w:hAnsi="Cambria Math"/>
            </w:rPr>
            <m:t>2</m:t>
          </m:r>
          <m:r>
            <w:rPr>
              <w:rFonts w:ascii="Cambria Math" w:hAnsi="Cambria Math"/>
            </w:rPr>
            <m:t>π</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log</m:t>
          </m:r>
          <m:r>
            <m:rPr>
              <m:sty m:val="p"/>
            </m:rPr>
            <w:rPr>
              <w:rFonts w:ascii="Cambria Math" w:hAnsi="Cambria Math"/>
            </w:rPr>
            <m:t>(</m:t>
          </m:r>
          <m:r>
            <w:rPr>
              <w:rFonts w:ascii="Cambria Math" w:hAnsi="Cambria Math"/>
            </w:rPr>
            <m:t>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log</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log</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2</m:t>
                      </m:r>
                    </m:sup>
                  </m:sSup>
                  <m:r>
                    <m:rPr>
                      <m:sty m:val="p"/>
                    </m:rPr>
                    <w:rPr>
                      <w:rFonts w:ascii="Cambria Math" w:hAnsi="Cambria Math"/>
                    </w:rPr>
                    <m:t>*</m:t>
                  </m:r>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e>
              </m:nary>
              <m:r>
                <m:rPr>
                  <m:sty m:val="p"/>
                </m:rPr>
                <w:rPr>
                  <w:rFonts w:ascii="Cambria Math" w:hAnsi="Cambria Math"/>
                </w:rPr>
                <m:t>)</m:t>
              </m:r>
            </m:e>
          </m:nary>
          <m:r>
            <m:rPr>
              <m:sty m:val="p"/>
            </m:rPr>
            <w:rPr>
              <w:rFonts w:ascii="Cambria Math" w:hAnsi="Cambria Math"/>
            </w:rPr>
            <m:t>)</m:t>
          </m:r>
        </m:oMath>
      </m:oMathPara>
    </w:p>
    <w:p w14:paraId="1E33CF95" w14:textId="77777777" w:rsidR="006662CA" w:rsidRDefault="00404FAB">
      <w:pPr>
        <w:pStyle w:val="FirstParagraph"/>
      </w:pPr>
      <w:r>
        <w:t xml:space="preserve">where </w:t>
      </w:r>
      <m:oMath>
        <m:r>
          <w:rPr>
            <w:rFonts w:ascii="Cambria Math" w:hAnsi="Cambria Math"/>
          </w:rPr>
          <m:t>N</m:t>
        </m:r>
      </m:oMath>
      <w:r>
        <w:t xml:space="preserve"> is the number of observations, </w:t>
      </w:r>
      <m:oMath>
        <m:r>
          <w:rPr>
            <w:rFonts w:ascii="Cambria Math" w:hAnsi="Cambria Math"/>
          </w:rPr>
          <m:t>w</m:t>
        </m:r>
      </m:oMath>
      <w:r>
        <w:t xml:space="preserve"> are survey weights, </w:t>
      </w:r>
      <m:oMath>
        <m:r>
          <w:rPr>
            <w:rFonts w:ascii="Cambria Math" w:hAnsi="Cambria Math"/>
          </w:rPr>
          <m:t>y</m:t>
        </m:r>
      </m:oMath>
      <w:r>
        <w:t xml:space="preserve"> is the observed value of the outcome, and </w:t>
      </w:r>
      <m:oMath>
        <m:acc>
          <m:accPr>
            <m:ctrlPr>
              <w:rPr>
                <w:rFonts w:ascii="Cambria Math" w:hAnsi="Cambria Math"/>
              </w:rPr>
            </m:ctrlPr>
          </m:accPr>
          <m:e>
            <m:r>
              <w:rPr>
                <w:rFonts w:ascii="Cambria Math" w:hAnsi="Cambria Math"/>
              </w:rPr>
              <m:t>y</m:t>
            </m:r>
          </m:e>
        </m:acc>
      </m:oMath>
      <w:r>
        <w:t xml:space="preserve"> is the predicted valu</w:t>
      </w:r>
      <w:r>
        <w:t>e of the outcome. The key issue for our analysis was that the formula applied survey weights to residuals twice (</w:t>
      </w:r>
      <m:oMath>
        <m:sSup>
          <m:sSupPr>
            <m:ctrlPr>
              <w:rPr>
                <w:rFonts w:ascii="Cambria Math" w:hAnsi="Cambria Math"/>
              </w:rPr>
            </m:ctrlPr>
          </m:sSupPr>
          <m:e>
            <m:r>
              <w:rPr>
                <w:rFonts w:ascii="Cambria Math" w:hAnsi="Cambria Math"/>
              </w:rPr>
              <m:t>w</m:t>
            </m:r>
          </m:e>
          <m:sup>
            <m:r>
              <w:rPr>
                <w:rFonts w:ascii="Cambria Math" w:hAnsi="Cambria Math"/>
              </w:rPr>
              <m:t>2</m:t>
            </m:r>
          </m:sup>
        </m:sSup>
      </m:oMath>
      <w:r>
        <w:t xml:space="preserve"> instead of </w:t>
      </w:r>
      <m:oMath>
        <m:r>
          <w:rPr>
            <w:rFonts w:ascii="Cambria Math" w:hAnsi="Cambria Math"/>
          </w:rPr>
          <m:t>w</m:t>
        </m:r>
      </m:oMath>
      <w:r>
        <w:t>). The formula also did not divide the sum of the log of the weights by N. This latter issue produced log likelihood values th</w:t>
      </w:r>
      <w:r>
        <w:t>at were too large, but because this term was constant across both models, it did not affect comparisons.</w:t>
      </w:r>
    </w:p>
    <w:p w14:paraId="44AF3D74" w14:textId="77777777" w:rsidR="006662CA" w:rsidRDefault="00404FAB">
      <w:pPr>
        <w:pStyle w:val="BodyText"/>
      </w:pPr>
      <w:r>
        <w:t>The corrected calculation of the log likelihood for non-linear least squares models, implemented in version 4.0.3,</w:t>
      </w:r>
      <w:r>
        <w:rPr>
          <w:rStyle w:val="FootnoteReference"/>
        </w:rPr>
        <w:footnoteReference w:id="1"/>
      </w:r>
      <w:r>
        <w:t xml:space="preserve"> is:</w:t>
      </w:r>
    </w:p>
    <w:p w14:paraId="11D55912" w14:textId="77777777" w:rsidR="006662CA" w:rsidRDefault="00404FAB">
      <w:pPr>
        <w:pStyle w:val="BodyText"/>
      </w:pPr>
      <m:oMathPara>
        <m:oMathParaPr>
          <m:jc m:val="center"/>
        </m:oMathParaPr>
        <m:oMath>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m:rPr>
              <m:sty m:val="p"/>
            </m:rPr>
            <w:rPr>
              <w:rFonts w:ascii="Cambria Math" w:hAnsi="Cambria Math"/>
            </w:rPr>
            <m:t>(</m:t>
          </m:r>
          <m:r>
            <w:rPr>
              <w:rFonts w:ascii="Cambria Math" w:hAnsi="Cambria Math"/>
            </w:rPr>
            <m:t>log</m:t>
          </m:r>
          <m:r>
            <m:rPr>
              <m:sty m:val="p"/>
            </m:rPr>
            <w:rPr>
              <w:rFonts w:ascii="Cambria Math" w:hAnsi="Cambria Math"/>
            </w:rPr>
            <m:t>(</m:t>
          </m:r>
          <m:r>
            <w:rPr>
              <w:rFonts w:ascii="Cambria Math" w:hAnsi="Cambria Math"/>
            </w:rPr>
            <m:t>2</m:t>
          </m:r>
          <m:r>
            <w:rPr>
              <w:rFonts w:ascii="Cambria Math" w:hAnsi="Cambria Math"/>
            </w:rPr>
            <m:t>π</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log</m:t>
          </m:r>
          <m:r>
            <m:rPr>
              <m:sty m:val="p"/>
            </m:rPr>
            <w:rPr>
              <w:rFonts w:ascii="Cambria Math" w:hAnsi="Cambria Math"/>
            </w:rPr>
            <m:t>(</m:t>
          </m:r>
          <m:r>
            <w:rPr>
              <w:rFonts w:ascii="Cambria Math" w:hAnsi="Cambria Math"/>
            </w:rPr>
            <m:t>N</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log</m:t>
                  </m:r>
                  <m:r>
                    <m:rPr>
                      <m:sty m:val="p"/>
                    </m:rPr>
                    <w:rPr>
                      <w:rFonts w:ascii="Cambria Math" w:hAnsi="Cambria Math"/>
                    </w:rPr>
                    <m:t>(</m:t>
                  </m:r>
                  <m:r>
                    <w:rPr>
                      <w:rFonts w:ascii="Cambria Math" w:hAnsi="Cambria Math"/>
                    </w:rPr>
                    <m:t>w</m:t>
                  </m:r>
                  <m:r>
                    <m:rPr>
                      <m:sty m:val="p"/>
                    </m:rPr>
                    <w:rPr>
                      <w:rFonts w:ascii="Cambria Math" w:hAnsi="Cambria Math"/>
                    </w:rPr>
                    <m:t>)</m:t>
                  </m:r>
                </m:e>
              </m:nary>
            </m:num>
            <m:den>
              <m:r>
                <w:rPr>
                  <w:rFonts w:ascii="Cambria Math" w:hAnsi="Cambria Math"/>
                </w:rPr>
                <m:t>N</m:t>
              </m:r>
            </m:den>
          </m:f>
          <m:r>
            <m:rPr>
              <m:sty m:val="p"/>
            </m:rPr>
            <w:rPr>
              <w:rFonts w:ascii="Cambria Math" w:hAnsi="Cambria Math"/>
            </w:rPr>
            <m:t>+</m:t>
          </m:r>
          <m:r>
            <w:rPr>
              <w:rFonts w:ascii="Cambria Math" w:hAnsi="Cambria Math"/>
            </w:rPr>
            <m:t>log</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w</m:t>
              </m:r>
              <m:r>
                <m:rPr>
                  <m:sty m:val="p"/>
                </m:rPr>
                <w:rPr>
                  <w:rFonts w:ascii="Cambria Math" w:hAnsi="Cambria Math"/>
                </w:rPr>
                <m:t>*</m:t>
              </m:r>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e>
          </m:nary>
          <m:r>
            <m:rPr>
              <m:sty m:val="p"/>
            </m:rPr>
            <w:rPr>
              <w:rFonts w:ascii="Cambria Math" w:hAnsi="Cambria Math"/>
            </w:rPr>
            <m:t>))</m:t>
          </m:r>
        </m:oMath>
      </m:oMathPara>
    </w:p>
    <w:p w14:paraId="40C6B76B" w14:textId="77777777" w:rsidR="006662CA" w:rsidRDefault="00404FAB">
      <w:pPr>
        <w:pStyle w:val="FirstParagraph"/>
      </w:pPr>
      <w:r>
        <w:t>Because the error lies in how survey weights were applied to the calculation of the BIC, there is no clear pattern in how results changed when the correct formula was applied. Re-running our analyses with the corrected calculation produces slightly differe</w:t>
      </w:r>
      <w:r>
        <w:t xml:space="preserve">nt results than what </w:t>
      </w:r>
      <w:r>
        <w:lastRenderedPageBreak/>
        <w:t>we presented in the published paper. Seventeen variables where we found a better fit for the stable disposition model prefer the active updating model under the corrected calculation. Fourteen variables where we found that the active u</w:t>
      </w:r>
      <w:r>
        <w:t>pdating model fit the data better prefer the settled dispositions model under the corrected calculation. This resulted in a net change of three more variables preferring the active updating model to the settled dispositions model (75, compared to 72 in the</w:t>
      </w:r>
      <w:r>
        <w:t xml:space="preserve"> original analysis). The revised calculation also found fewer variables with a statistically significant difference between the </w:t>
      </w:r>
      <m:oMath>
        <m:r>
          <w:rPr>
            <w:rFonts w:ascii="Cambria Math" w:hAnsi="Cambria Math"/>
          </w:rPr>
          <m:t>ϕ</m:t>
        </m:r>
      </m:oMath>
      <w:r>
        <w:t xml:space="preserve"> estimates for people 30 and under and people over 30 (9 instead of 22), but the overall pattern of younger people showing mor</w:t>
      </w:r>
      <w:r>
        <w:t>e active updating is still consistent.</w:t>
      </w:r>
    </w:p>
    <w:p w14:paraId="22776056" w14:textId="77777777" w:rsidR="006662CA" w:rsidRDefault="00404FAB">
      <w:pPr>
        <w:pStyle w:val="BodyText"/>
      </w:pPr>
      <w:r>
        <w:t>The items we labeled as “settled dispositions” under the incorrect calculation that are “active updating” under the corrected calculation are: abnomore, confinan, conjudge, contv, courts, fund, hapmar, misanthropy, ne</w:t>
      </w:r>
      <w:r>
        <w:t>verrelact, polattak, reborn, socommun, socrel, spkath, spkrac, teensex, and xmovie.</w:t>
      </w:r>
    </w:p>
    <w:p w14:paraId="58B77C43" w14:textId="77777777" w:rsidR="006662CA" w:rsidRDefault="00404FAB">
      <w:pPr>
        <w:pStyle w:val="BodyText"/>
      </w:pPr>
      <w:r>
        <w:t>The items we labeled as “active updating” under the incorrect calculation that are “settled dispositions” under the corrected calculation are: aged, colrac, divlaw, getahea</w:t>
      </w:r>
      <w:r>
        <w:t>d, marwht, meovrwrk, pillok, polhitok, racdif2, socfrend, suicide1, trust, uswary, and workblks.</w:t>
      </w:r>
    </w:p>
    <w:p w14:paraId="1226F8F3" w14:textId="77777777" w:rsidR="006662CA" w:rsidRDefault="00404FAB">
      <w:pPr>
        <w:pStyle w:val="BodyText"/>
      </w:pPr>
      <w:r>
        <w:t xml:space="preserve">While fixing this calculation changes how these variables are classified, the erroneous calculation was unrelated to our estimates of </w:t>
      </w:r>
      <m:oMath>
        <m:r>
          <w:rPr>
            <w:rFonts w:ascii="Cambria Math" w:hAnsi="Cambria Math"/>
          </w:rPr>
          <m:t>ϕ</m:t>
        </m:r>
      </m:oMath>
      <w:r>
        <w:t xml:space="preserve"> or </w:t>
      </w:r>
      <m:oMath>
        <m:r>
          <w:rPr>
            <w:rFonts w:ascii="Cambria Math" w:hAnsi="Cambria Math"/>
          </w:rPr>
          <m:t>β</m:t>
        </m:r>
      </m:oMath>
      <w:r>
        <w:t>, and the overall</w:t>
      </w:r>
      <w:r>
        <w:t xml:space="preserve"> substantive conclusions of our paper, which we reproduced with different methods elsewhere (Vaisey and Kiley 2021), remain the same.</w:t>
      </w:r>
    </w:p>
    <w:p w14:paraId="7C293740" w14:textId="77777777" w:rsidR="006662CA" w:rsidRDefault="00404FAB">
      <w:pPr>
        <w:pStyle w:val="BodyText"/>
      </w:pPr>
      <w:r>
        <w:t>Corrected versions of Figures 2, 3, 4, 5, and A1-A4 are included below. Figures 1 and 6 were not affected by the change. C</w:t>
      </w:r>
      <w:r>
        <w:t xml:space="preserve">ode to reproduce the analyses, including the old and corrected results, can be found at: </w:t>
      </w:r>
      <w:hyperlink r:id="rId7">
        <w:r>
          <w:rPr>
            <w:rStyle w:val="Hyperlink"/>
          </w:rPr>
          <w:t>https://github.com/krkiley/panel_change</w:t>
        </w:r>
      </w:hyperlink>
      <w:r>
        <w:t>.</w:t>
      </w:r>
    </w:p>
    <w:p w14:paraId="54397C33" w14:textId="77777777" w:rsidR="006662CA" w:rsidRDefault="00404FAB">
      <w:pPr>
        <w:pStyle w:val="BodyText"/>
      </w:pPr>
      <w:r>
        <w:lastRenderedPageBreak/>
        <w:t>We thank Hugo Mercier for bringing the discrepancy to our attention</w:t>
      </w:r>
      <w:r>
        <w:t>. We thank Sebastian Meyer for patching the function in R and for explaining the change in personal communications.</w:t>
      </w:r>
    </w:p>
    <w:p w14:paraId="3C5E845F" w14:textId="77777777" w:rsidR="006662CA" w:rsidRDefault="00404FAB">
      <w:pPr>
        <w:pStyle w:val="Heading1"/>
      </w:pPr>
      <w:bookmarkStart w:id="0" w:name="figures"/>
      <w:r>
        <w:t>Figures</w:t>
      </w:r>
    </w:p>
    <w:p w14:paraId="1109142B" w14:textId="77777777" w:rsidR="006662CA" w:rsidRDefault="00404FAB">
      <w:r>
        <w:rPr>
          <w:noProof/>
        </w:rPr>
        <w:drawing>
          <wp:inline distT="0" distB="0" distL="0" distR="0" wp14:anchorId="3DD1019C" wp14:editId="16379EB5">
            <wp:extent cx="5943600" cy="3500525"/>
            <wp:effectExtent l="0" t="0" r="0" b="0"/>
            <wp:docPr id="1" name="Picture" descr="Figure 1: Distribution of phi estimates and probabilities that items show evidence of active updating."/>
            <wp:cNvGraphicFramePr/>
            <a:graphic xmlns:a="http://schemas.openxmlformats.org/drawingml/2006/main">
              <a:graphicData uri="http://schemas.openxmlformats.org/drawingml/2006/picture">
                <pic:pic xmlns:pic="http://schemas.openxmlformats.org/drawingml/2006/picture">
                  <pic:nvPicPr>
                    <pic:cNvPr id="0" name="Picture" descr="correction_files/figure-docx/phihist-1.png"/>
                    <pic:cNvPicPr>
                      <a:picLocks noChangeAspect="1" noChangeArrowheads="1"/>
                    </pic:cNvPicPr>
                  </pic:nvPicPr>
                  <pic:blipFill>
                    <a:blip r:embed="rId8"/>
                    <a:stretch>
                      <a:fillRect/>
                    </a:stretch>
                  </pic:blipFill>
                  <pic:spPr bwMode="auto">
                    <a:xfrm>
                      <a:off x="0" y="0"/>
                      <a:ext cx="5943600" cy="3500525"/>
                    </a:xfrm>
                    <a:prstGeom prst="rect">
                      <a:avLst/>
                    </a:prstGeom>
                    <a:noFill/>
                    <a:ln w="9525">
                      <a:noFill/>
                      <a:headEnd/>
                      <a:tailEnd/>
                    </a:ln>
                  </pic:spPr>
                </pic:pic>
              </a:graphicData>
            </a:graphic>
          </wp:inline>
        </w:drawing>
      </w:r>
    </w:p>
    <w:p w14:paraId="24577F6D" w14:textId="77777777" w:rsidR="006662CA" w:rsidRDefault="00404FAB">
      <w:pPr>
        <w:pStyle w:val="ImageCaption"/>
      </w:pPr>
      <w:r>
        <w:t>Figure 1: Distribution of phi estimates and probabilities that items show evidence of active updating.</w:t>
      </w:r>
    </w:p>
    <w:p w14:paraId="4BC04F37" w14:textId="77777777" w:rsidR="006662CA" w:rsidRDefault="00404FAB">
      <w:r>
        <w:rPr>
          <w:noProof/>
        </w:rPr>
        <w:lastRenderedPageBreak/>
        <w:drawing>
          <wp:inline distT="0" distB="0" distL="0" distR="0" wp14:anchorId="6ED041D8" wp14:editId="467AEF3C">
            <wp:extent cx="5943600" cy="7001050"/>
            <wp:effectExtent l="0" t="0" r="0" b="0"/>
            <wp:docPr id="2" name="Picture" descr="Figure 2: Comparison of phi estimates for individuals over and equal to or less than 30 years old, with 95 percent confidence intervals."/>
            <wp:cNvGraphicFramePr/>
            <a:graphic xmlns:a="http://schemas.openxmlformats.org/drawingml/2006/main">
              <a:graphicData uri="http://schemas.openxmlformats.org/drawingml/2006/picture">
                <pic:pic xmlns:pic="http://schemas.openxmlformats.org/drawingml/2006/picture">
                  <pic:nvPicPr>
                    <pic:cNvPr id="0" name="Picture" descr="correction_files/figure-docx/agegroupcomparison-1.png"/>
                    <pic:cNvPicPr>
                      <a:picLocks noChangeAspect="1" noChangeArrowheads="1"/>
                    </pic:cNvPicPr>
                  </pic:nvPicPr>
                  <pic:blipFill>
                    <a:blip r:embed="rId9"/>
                    <a:stretch>
                      <a:fillRect/>
                    </a:stretch>
                  </pic:blipFill>
                  <pic:spPr bwMode="auto">
                    <a:xfrm>
                      <a:off x="0" y="0"/>
                      <a:ext cx="5943600" cy="7001050"/>
                    </a:xfrm>
                    <a:prstGeom prst="rect">
                      <a:avLst/>
                    </a:prstGeom>
                    <a:noFill/>
                    <a:ln w="9525">
                      <a:noFill/>
                      <a:headEnd/>
                      <a:tailEnd/>
                    </a:ln>
                  </pic:spPr>
                </pic:pic>
              </a:graphicData>
            </a:graphic>
          </wp:inline>
        </w:drawing>
      </w:r>
    </w:p>
    <w:p w14:paraId="2BABC9EC" w14:textId="77777777" w:rsidR="006662CA" w:rsidRDefault="00404FAB">
      <w:pPr>
        <w:pStyle w:val="ImageCaption"/>
      </w:pPr>
      <w:r>
        <w:t>Figure 2: Comparison of p</w:t>
      </w:r>
      <w:r>
        <w:t>hi estimates for individuals over and equal to or less than 30 years old, with 95 percent confidence intervals.</w:t>
      </w:r>
    </w:p>
    <w:p w14:paraId="786E2D82" w14:textId="77777777" w:rsidR="006662CA" w:rsidRDefault="00404FAB">
      <w:r>
        <w:rPr>
          <w:noProof/>
        </w:rPr>
        <w:lastRenderedPageBreak/>
        <w:drawing>
          <wp:inline distT="0" distB="0" distL="0" distR="0" wp14:anchorId="75389CB2" wp14:editId="17E058F2">
            <wp:extent cx="5943600" cy="5250787"/>
            <wp:effectExtent l="0" t="0" r="0" b="0"/>
            <wp:docPr id="3" name="Picture" descr="Figure 3: Distribution of beta and phi estimates for GSS items, by whether model prefers phi = .5 constraint."/>
            <wp:cNvGraphicFramePr/>
            <a:graphic xmlns:a="http://schemas.openxmlformats.org/drawingml/2006/main">
              <a:graphicData uri="http://schemas.openxmlformats.org/drawingml/2006/picture">
                <pic:pic xmlns:pic="http://schemas.openxmlformats.org/drawingml/2006/picture">
                  <pic:nvPicPr>
                    <pic:cNvPr id="0" name="Picture" descr="correction_files/figure-docx/phibetascatter-1.png"/>
                    <pic:cNvPicPr>
                      <a:picLocks noChangeAspect="1" noChangeArrowheads="1"/>
                    </pic:cNvPicPr>
                  </pic:nvPicPr>
                  <pic:blipFill>
                    <a:blip r:embed="rId10"/>
                    <a:stretch>
                      <a:fillRect/>
                    </a:stretch>
                  </pic:blipFill>
                  <pic:spPr bwMode="auto">
                    <a:xfrm>
                      <a:off x="0" y="0"/>
                      <a:ext cx="5943600" cy="5250787"/>
                    </a:xfrm>
                    <a:prstGeom prst="rect">
                      <a:avLst/>
                    </a:prstGeom>
                    <a:noFill/>
                    <a:ln w="9525">
                      <a:noFill/>
                      <a:headEnd/>
                      <a:tailEnd/>
                    </a:ln>
                  </pic:spPr>
                </pic:pic>
              </a:graphicData>
            </a:graphic>
          </wp:inline>
        </w:drawing>
      </w:r>
    </w:p>
    <w:p w14:paraId="35D4DF12" w14:textId="77777777" w:rsidR="006662CA" w:rsidRDefault="00404FAB">
      <w:pPr>
        <w:pStyle w:val="ImageCaption"/>
      </w:pPr>
      <w:r>
        <w:t>Figure 3: Distribution of beta and phi estimates for GSS items, by whether model prefers phi = .5 constraint.</w:t>
      </w:r>
    </w:p>
    <w:p w14:paraId="427E7F58" w14:textId="77777777" w:rsidR="006662CA" w:rsidRDefault="00404FAB">
      <w:r>
        <w:rPr>
          <w:noProof/>
        </w:rPr>
        <w:lastRenderedPageBreak/>
        <w:drawing>
          <wp:inline distT="0" distB="0" distL="0" distR="0" wp14:anchorId="14C0EE32" wp14:editId="487EA312">
            <wp:extent cx="5943600" cy="7876181"/>
            <wp:effectExtent l="0" t="0" r="0" b="0"/>
            <wp:docPr id="4" name="Picture" descr="Figure 4: Summary of phi estimates for all items, by topical group. Numbers in parentheses indicate the number of items in each topical group."/>
            <wp:cNvGraphicFramePr/>
            <a:graphic xmlns:a="http://schemas.openxmlformats.org/drawingml/2006/main">
              <a:graphicData uri="http://schemas.openxmlformats.org/drawingml/2006/picture">
                <pic:pic xmlns:pic="http://schemas.openxmlformats.org/drawingml/2006/picture">
                  <pic:nvPicPr>
                    <pic:cNvPr id="0" name="Picture" descr="correction_files/figure-docx/summary-1.png"/>
                    <pic:cNvPicPr>
                      <a:picLocks noChangeAspect="1" noChangeArrowheads="1"/>
                    </pic:cNvPicPr>
                  </pic:nvPicPr>
                  <pic:blipFill>
                    <a:blip r:embed="rId11"/>
                    <a:stretch>
                      <a:fillRect/>
                    </a:stretch>
                  </pic:blipFill>
                  <pic:spPr bwMode="auto">
                    <a:xfrm>
                      <a:off x="0" y="0"/>
                      <a:ext cx="5943600" cy="7876181"/>
                    </a:xfrm>
                    <a:prstGeom prst="rect">
                      <a:avLst/>
                    </a:prstGeom>
                    <a:noFill/>
                    <a:ln w="9525">
                      <a:noFill/>
                      <a:headEnd/>
                      <a:tailEnd/>
                    </a:ln>
                  </pic:spPr>
                </pic:pic>
              </a:graphicData>
            </a:graphic>
          </wp:inline>
        </w:drawing>
      </w:r>
    </w:p>
    <w:p w14:paraId="09E82997" w14:textId="77777777" w:rsidR="006662CA" w:rsidRDefault="00404FAB">
      <w:pPr>
        <w:pStyle w:val="ImageCaption"/>
      </w:pPr>
      <w:r>
        <w:lastRenderedPageBreak/>
        <w:t>Figure 4: Summary of phi estimates for all items, by topical group. Numbers in parentheses indicate the number of items in each topical group.</w:t>
      </w:r>
    </w:p>
    <w:p w14:paraId="2A90386F" w14:textId="77777777" w:rsidR="006662CA" w:rsidRDefault="00404FAB">
      <w:r>
        <w:rPr>
          <w:noProof/>
        </w:rPr>
        <w:drawing>
          <wp:inline distT="0" distB="0" distL="0" distR="0" wp14:anchorId="3D42B824" wp14:editId="439F054F">
            <wp:extent cx="5943600" cy="7438615"/>
            <wp:effectExtent l="0" t="0" r="0" b="0"/>
            <wp:docPr id="5" name="Picture" descr="Figure 5: Phi estimates for items about religious activity and beliefs, social life, subjective SES, and suicide."/>
            <wp:cNvGraphicFramePr/>
            <a:graphic xmlns:a="http://schemas.openxmlformats.org/drawingml/2006/main">
              <a:graphicData uri="http://schemas.openxmlformats.org/drawingml/2006/picture">
                <pic:pic xmlns:pic="http://schemas.openxmlformats.org/drawingml/2006/picture">
                  <pic:nvPicPr>
                    <pic:cNvPr id="0" name="Picture" descr="correction_files/figure-docx/religphi-1.png"/>
                    <pic:cNvPicPr>
                      <a:picLocks noChangeAspect="1" noChangeArrowheads="1"/>
                    </pic:cNvPicPr>
                  </pic:nvPicPr>
                  <pic:blipFill>
                    <a:blip r:embed="rId12"/>
                    <a:stretch>
                      <a:fillRect/>
                    </a:stretch>
                  </pic:blipFill>
                  <pic:spPr bwMode="auto">
                    <a:xfrm>
                      <a:off x="0" y="0"/>
                      <a:ext cx="5943600" cy="7438615"/>
                    </a:xfrm>
                    <a:prstGeom prst="rect">
                      <a:avLst/>
                    </a:prstGeom>
                    <a:noFill/>
                    <a:ln w="9525">
                      <a:noFill/>
                      <a:headEnd/>
                      <a:tailEnd/>
                    </a:ln>
                  </pic:spPr>
                </pic:pic>
              </a:graphicData>
            </a:graphic>
          </wp:inline>
        </w:drawing>
      </w:r>
    </w:p>
    <w:p w14:paraId="79D1C519" w14:textId="77777777" w:rsidR="006662CA" w:rsidRDefault="00404FAB">
      <w:pPr>
        <w:pStyle w:val="ImageCaption"/>
      </w:pPr>
      <w:r>
        <w:lastRenderedPageBreak/>
        <w:t>Figure 5: Phi estimates for items about religious activity and beliefs, social life, subjective SES, and suicid</w:t>
      </w:r>
      <w:r>
        <w:t>e.</w:t>
      </w:r>
    </w:p>
    <w:p w14:paraId="7F835AEC" w14:textId="77777777" w:rsidR="006662CA" w:rsidRDefault="00404FAB">
      <w:r>
        <w:rPr>
          <w:noProof/>
        </w:rPr>
        <w:drawing>
          <wp:inline distT="0" distB="0" distL="0" distR="0" wp14:anchorId="469B856F" wp14:editId="575AD614">
            <wp:extent cx="5943600" cy="7438615"/>
            <wp:effectExtent l="0" t="0" r="0" b="0"/>
            <wp:docPr id="6" name="Picture" descr="Figure 6: Phi estimates for items about guns, law, crime and policing; politics and government; and public spending. The item ‘Police can hit citizens,’ which has phi = .43, has been removed for ease of viewing"/>
            <wp:cNvGraphicFramePr/>
            <a:graphic xmlns:a="http://schemas.openxmlformats.org/drawingml/2006/main">
              <a:graphicData uri="http://schemas.openxmlformats.org/drawingml/2006/picture">
                <pic:pic xmlns:pic="http://schemas.openxmlformats.org/drawingml/2006/picture">
                  <pic:nvPicPr>
                    <pic:cNvPr id="0" name="Picture" descr="correction_files/figure-docx/poliphi-1.png"/>
                    <pic:cNvPicPr>
                      <a:picLocks noChangeAspect="1" noChangeArrowheads="1"/>
                    </pic:cNvPicPr>
                  </pic:nvPicPr>
                  <pic:blipFill>
                    <a:blip r:embed="rId13"/>
                    <a:stretch>
                      <a:fillRect/>
                    </a:stretch>
                  </pic:blipFill>
                  <pic:spPr bwMode="auto">
                    <a:xfrm>
                      <a:off x="0" y="0"/>
                      <a:ext cx="5943600" cy="7438615"/>
                    </a:xfrm>
                    <a:prstGeom prst="rect">
                      <a:avLst/>
                    </a:prstGeom>
                    <a:noFill/>
                    <a:ln w="9525">
                      <a:noFill/>
                      <a:headEnd/>
                      <a:tailEnd/>
                    </a:ln>
                  </pic:spPr>
                </pic:pic>
              </a:graphicData>
            </a:graphic>
          </wp:inline>
        </w:drawing>
      </w:r>
    </w:p>
    <w:p w14:paraId="6D43FFE6" w14:textId="77777777" w:rsidR="006662CA" w:rsidRDefault="00404FAB">
      <w:pPr>
        <w:pStyle w:val="ImageCaption"/>
      </w:pPr>
      <w:r>
        <w:lastRenderedPageBreak/>
        <w:t>Figure 6: Phi estimates for items about guns, law, crime and policing; politics and government; and public spending. The item ‘Police can hit citizens,’ which has phi = .43, has been removed for ease of viewing</w:t>
      </w:r>
    </w:p>
    <w:p w14:paraId="64BD179C" w14:textId="77777777" w:rsidR="006662CA" w:rsidRDefault="00404FAB">
      <w:r>
        <w:rPr>
          <w:noProof/>
        </w:rPr>
        <w:drawing>
          <wp:inline distT="0" distB="0" distL="0" distR="0" wp14:anchorId="52D3A68A" wp14:editId="1CA8DDD7">
            <wp:extent cx="5943600" cy="7438615"/>
            <wp:effectExtent l="0" t="0" r="0" b="0"/>
            <wp:docPr id="7" name="Picture" descr="Figure 7: Phi estimates for items about civil liberties, confidence in leadership, health, morale, and social trust."/>
            <wp:cNvGraphicFramePr/>
            <a:graphic xmlns:a="http://schemas.openxmlformats.org/drawingml/2006/main">
              <a:graphicData uri="http://schemas.openxmlformats.org/drawingml/2006/picture">
                <pic:pic xmlns:pic="http://schemas.openxmlformats.org/drawingml/2006/picture">
                  <pic:nvPicPr>
                    <pic:cNvPr id="0" name="Picture" descr="correction_files/figure-docx/civlibphi-1.png"/>
                    <pic:cNvPicPr>
                      <a:picLocks noChangeAspect="1" noChangeArrowheads="1"/>
                    </pic:cNvPicPr>
                  </pic:nvPicPr>
                  <pic:blipFill>
                    <a:blip r:embed="rId14"/>
                    <a:stretch>
                      <a:fillRect/>
                    </a:stretch>
                  </pic:blipFill>
                  <pic:spPr bwMode="auto">
                    <a:xfrm>
                      <a:off x="0" y="0"/>
                      <a:ext cx="5943600" cy="7438615"/>
                    </a:xfrm>
                    <a:prstGeom prst="rect">
                      <a:avLst/>
                    </a:prstGeom>
                    <a:noFill/>
                    <a:ln w="9525">
                      <a:noFill/>
                      <a:headEnd/>
                      <a:tailEnd/>
                    </a:ln>
                  </pic:spPr>
                </pic:pic>
              </a:graphicData>
            </a:graphic>
          </wp:inline>
        </w:drawing>
      </w:r>
    </w:p>
    <w:p w14:paraId="453F9BA8" w14:textId="77777777" w:rsidR="006662CA" w:rsidRDefault="00404FAB">
      <w:pPr>
        <w:pStyle w:val="ImageCaption"/>
      </w:pPr>
      <w:r>
        <w:lastRenderedPageBreak/>
        <w:t>Figure 7: Phi estimates for items abou</w:t>
      </w:r>
      <w:r>
        <w:t>t civil liberties, confidence in leadership, health, morale, and social trust.</w:t>
      </w:r>
    </w:p>
    <w:p w14:paraId="344349A8" w14:textId="77777777" w:rsidR="006662CA" w:rsidRDefault="00404FAB">
      <w:r>
        <w:rPr>
          <w:noProof/>
        </w:rPr>
        <w:drawing>
          <wp:inline distT="0" distB="0" distL="0" distR="0" wp14:anchorId="1553558D" wp14:editId="3905D0E6">
            <wp:extent cx="5943600" cy="7438615"/>
            <wp:effectExtent l="0" t="0" r="0" b="0"/>
            <wp:docPr id="8" name="Picture" descr="Figure 8: Phi estimates for items about race, gender, sex, sexuality, and abortion."/>
            <wp:cNvGraphicFramePr/>
            <a:graphic xmlns:a="http://schemas.openxmlformats.org/drawingml/2006/main">
              <a:graphicData uri="http://schemas.openxmlformats.org/drawingml/2006/picture">
                <pic:pic xmlns:pic="http://schemas.openxmlformats.org/drawingml/2006/picture">
                  <pic:nvPicPr>
                    <pic:cNvPr id="0" name="Picture" descr="correction_files/figure-docx/racgenphi-1.png"/>
                    <pic:cNvPicPr>
                      <a:picLocks noChangeAspect="1" noChangeArrowheads="1"/>
                    </pic:cNvPicPr>
                  </pic:nvPicPr>
                  <pic:blipFill>
                    <a:blip r:embed="rId15"/>
                    <a:stretch>
                      <a:fillRect/>
                    </a:stretch>
                  </pic:blipFill>
                  <pic:spPr bwMode="auto">
                    <a:xfrm>
                      <a:off x="0" y="0"/>
                      <a:ext cx="5943600" cy="7438615"/>
                    </a:xfrm>
                    <a:prstGeom prst="rect">
                      <a:avLst/>
                    </a:prstGeom>
                    <a:noFill/>
                    <a:ln w="9525">
                      <a:noFill/>
                      <a:headEnd/>
                      <a:tailEnd/>
                    </a:ln>
                  </pic:spPr>
                </pic:pic>
              </a:graphicData>
            </a:graphic>
          </wp:inline>
        </w:drawing>
      </w:r>
    </w:p>
    <w:p w14:paraId="146D92C4" w14:textId="77777777" w:rsidR="006662CA" w:rsidRDefault="00404FAB">
      <w:pPr>
        <w:pStyle w:val="ImageCaption"/>
      </w:pPr>
      <w:r>
        <w:t>Figure 8: Phi estimates for items about race, gender, sex, sexuality, and abortion.</w:t>
      </w:r>
    </w:p>
    <w:p w14:paraId="4AA42FC9" w14:textId="77777777" w:rsidR="006662CA" w:rsidRDefault="00404FAB">
      <w:pPr>
        <w:pStyle w:val="Heading1"/>
      </w:pPr>
      <w:bookmarkStart w:id="1" w:name="references"/>
      <w:bookmarkEnd w:id="0"/>
      <w:r>
        <w:lastRenderedPageBreak/>
        <w:t>References</w:t>
      </w:r>
    </w:p>
    <w:p w14:paraId="17CA0FE8" w14:textId="77777777" w:rsidR="006662CA" w:rsidRDefault="00404FAB">
      <w:pPr>
        <w:pStyle w:val="Bibliography"/>
      </w:pPr>
      <w:bookmarkStart w:id="2" w:name="ref-vaisey2021"/>
      <w:bookmarkStart w:id="3" w:name="refs"/>
      <w:r>
        <w:t>Vaisey, Stephen, and Kevin Kiley. 2021. “A Model-Based Method for Detecting Pers</w:t>
      </w:r>
      <w:r>
        <w:t xml:space="preserve">istent Cultural Change Using Panel Data.” </w:t>
      </w:r>
      <w:r>
        <w:rPr>
          <w:i/>
          <w:iCs/>
        </w:rPr>
        <w:t>Sociological Science</w:t>
      </w:r>
      <w:r>
        <w:t xml:space="preserve"> 8 (5): 83–95. </w:t>
      </w:r>
      <w:hyperlink r:id="rId16">
        <w:r>
          <w:rPr>
            <w:rStyle w:val="Hyperlink"/>
          </w:rPr>
          <w:t>https://doi.org/10.15195/v8.a5</w:t>
        </w:r>
      </w:hyperlink>
      <w:r>
        <w:t>.</w:t>
      </w:r>
      <w:bookmarkEnd w:id="1"/>
      <w:bookmarkEnd w:id="2"/>
      <w:bookmarkEnd w:id="3"/>
    </w:p>
    <w:sectPr w:rsidR="006662CA">
      <w:footerReference w:type="even"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C385A" w14:textId="77777777" w:rsidR="00404FAB" w:rsidRDefault="00404FAB">
      <w:pPr>
        <w:spacing w:after="0"/>
      </w:pPr>
      <w:r>
        <w:separator/>
      </w:r>
    </w:p>
  </w:endnote>
  <w:endnote w:type="continuationSeparator" w:id="0">
    <w:p w14:paraId="37A2F2E1" w14:textId="77777777" w:rsidR="00404FAB" w:rsidRDefault="00404F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383430"/>
      <w:docPartObj>
        <w:docPartGallery w:val="Page Numbers (Bottom of Page)"/>
        <w:docPartUnique/>
      </w:docPartObj>
    </w:sdtPr>
    <w:sdtEndPr>
      <w:rPr>
        <w:rStyle w:val="PageNumber"/>
      </w:rPr>
    </w:sdtEndPr>
    <w:sdtContent>
      <w:p w14:paraId="32692586" w14:textId="77777777" w:rsidR="006C1DE5" w:rsidRDefault="00404FAB" w:rsidP="005C4C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D15987" w14:textId="77777777" w:rsidR="006C1DE5" w:rsidRDefault="00404F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442996709"/>
      <w:docPartObj>
        <w:docPartGallery w:val="Page Numbers (Bottom of Page)"/>
        <w:docPartUnique/>
      </w:docPartObj>
    </w:sdtPr>
    <w:sdtEndPr>
      <w:rPr>
        <w:rStyle w:val="PageNumber"/>
      </w:rPr>
    </w:sdtEndPr>
    <w:sdtContent>
      <w:p w14:paraId="2AF7A60C" w14:textId="77777777" w:rsidR="006C1DE5" w:rsidRPr="00B436BE" w:rsidRDefault="00404FAB" w:rsidP="005C4CCE">
        <w:pPr>
          <w:pStyle w:val="Footer"/>
          <w:framePr w:wrap="none" w:vAnchor="text" w:hAnchor="margin" w:xAlign="center" w:y="1"/>
          <w:rPr>
            <w:rStyle w:val="PageNumber"/>
            <w:rFonts w:ascii="Times New Roman" w:hAnsi="Times New Roman" w:cs="Times New Roman"/>
          </w:rPr>
        </w:pPr>
        <w:r w:rsidRPr="00B436BE">
          <w:rPr>
            <w:rStyle w:val="PageNumber"/>
            <w:rFonts w:ascii="Times New Roman" w:hAnsi="Times New Roman" w:cs="Times New Roman"/>
          </w:rPr>
          <w:fldChar w:fldCharType="begin"/>
        </w:r>
        <w:r w:rsidRPr="00B436BE">
          <w:rPr>
            <w:rStyle w:val="PageNumber"/>
            <w:rFonts w:ascii="Times New Roman" w:hAnsi="Times New Roman" w:cs="Times New Roman"/>
          </w:rPr>
          <w:instrText xml:space="preserve"> PAGE </w:instrText>
        </w:r>
        <w:r w:rsidRPr="00B436BE">
          <w:rPr>
            <w:rStyle w:val="PageNumber"/>
            <w:rFonts w:ascii="Times New Roman" w:hAnsi="Times New Roman" w:cs="Times New Roman"/>
          </w:rPr>
          <w:fldChar w:fldCharType="separate"/>
        </w:r>
        <w:r>
          <w:rPr>
            <w:rStyle w:val="PageNumber"/>
            <w:rFonts w:ascii="Times New Roman" w:hAnsi="Times New Roman" w:cs="Times New Roman"/>
            <w:noProof/>
          </w:rPr>
          <w:t>2</w:t>
        </w:r>
        <w:r w:rsidRPr="00B436BE">
          <w:rPr>
            <w:rStyle w:val="PageNumber"/>
            <w:rFonts w:ascii="Times New Roman" w:hAnsi="Times New Roman" w:cs="Times New Roman"/>
          </w:rPr>
          <w:fldChar w:fldCharType="end"/>
        </w:r>
      </w:p>
    </w:sdtContent>
  </w:sdt>
  <w:p w14:paraId="79A9F0F9" w14:textId="77777777" w:rsidR="006C1DE5" w:rsidRDefault="00404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97C5A" w14:textId="77777777" w:rsidR="00404FAB" w:rsidRDefault="00404FAB">
      <w:r>
        <w:separator/>
      </w:r>
    </w:p>
  </w:footnote>
  <w:footnote w:type="continuationSeparator" w:id="0">
    <w:p w14:paraId="66D1C2B3" w14:textId="77777777" w:rsidR="00404FAB" w:rsidRDefault="00404FAB">
      <w:r>
        <w:continuationSeparator/>
      </w:r>
    </w:p>
  </w:footnote>
  <w:footnote w:id="1">
    <w:p w14:paraId="19813FC0" w14:textId="77777777" w:rsidR="006662CA" w:rsidRDefault="00404FAB">
      <w:pPr>
        <w:pStyle w:val="FootnoteText"/>
      </w:pPr>
      <w:r>
        <w:rPr>
          <w:rStyle w:val="FootnoteReference"/>
        </w:rPr>
        <w:footnoteRef/>
      </w:r>
      <w:r>
        <w:t xml:space="preserve"> </w:t>
      </w:r>
      <w:r>
        <w:t xml:space="preserve">Documentation of the error can be found: </w:t>
      </w:r>
      <w:hyperlink r:id="rId1" w:anchor="c3">
        <w:r>
          <w:rPr>
            <w:rStyle w:val="Hyperlink"/>
          </w:rPr>
          <w:t>https://bugs.r-project.org/show_bug.cgi?id=16100#c3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A35A488"/>
    <w:multiLevelType w:val="multilevel"/>
    <w:tmpl w:val="44CED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EF0E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C1AE401"/>
    <w:multiLevelType w:val="multilevel"/>
    <w:tmpl w:val="2FC4C9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04FAB"/>
    <w:rsid w:val="004E29B3"/>
    <w:rsid w:val="00590D07"/>
    <w:rsid w:val="005C52A6"/>
    <w:rsid w:val="006662CA"/>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21E1B"/>
  <w15:docId w15:val="{62CECABC-3603-0841-8855-375F65DA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26AE7"/>
    <w:pPr>
      <w:keepNext/>
      <w:keepLines/>
      <w:spacing w:after="240"/>
      <w:outlineLvl w:val="0"/>
    </w:pPr>
    <w:rPr>
      <w:rFonts w:ascii="Times New Roman" w:eastAsiaTheme="majorEastAsia" w:hAnsi="Times New Roman" w:cs="Times New Roman"/>
      <w:b/>
      <w:bCs/>
      <w:caps/>
      <w:color w:val="000000" w:themeColor="text1"/>
      <w:sz w:val="32"/>
      <w:szCs w:val="32"/>
    </w:rPr>
  </w:style>
  <w:style w:type="paragraph" w:styleId="Heading2">
    <w:name w:val="heading 2"/>
    <w:basedOn w:val="Normal"/>
    <w:next w:val="BodyText"/>
    <w:uiPriority w:val="9"/>
    <w:unhideWhenUsed/>
    <w:qFormat/>
    <w:rsid w:val="00FC1041"/>
    <w:pPr>
      <w:keepNext/>
      <w:keepLines/>
      <w:spacing w:after="240"/>
      <w:outlineLvl w:val="1"/>
    </w:pPr>
    <w:rPr>
      <w:rFonts w:ascii="Times New Roman" w:eastAsiaTheme="majorEastAsia" w:hAnsi="Times New Roman" w:cs="Times New Roman"/>
      <w:b/>
      <w:bCs/>
      <w:i/>
      <w:color w:val="000000" w:themeColor="text1"/>
      <w:sz w:val="28"/>
      <w:szCs w:val="28"/>
    </w:rPr>
  </w:style>
  <w:style w:type="paragraph" w:styleId="Heading3">
    <w:name w:val="heading 3"/>
    <w:basedOn w:val="Normal"/>
    <w:next w:val="BodyText"/>
    <w:uiPriority w:val="9"/>
    <w:unhideWhenUsed/>
    <w:qFormat/>
    <w:rsid w:val="00FC1041"/>
    <w:pPr>
      <w:keepNext/>
      <w:keepLines/>
      <w:spacing w:after="240"/>
      <w:outlineLvl w:val="2"/>
    </w:pPr>
    <w:rPr>
      <w:rFonts w:ascii="Times New Roman" w:eastAsiaTheme="majorEastAsia" w:hAnsi="Times New Roman" w:cs="Times New Roman"/>
      <w:b/>
      <w:bCs/>
      <w:smallCap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05A4"/>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72F4F"/>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72F4F"/>
    <w:pPr>
      <w:keepNext/>
      <w:keepLines/>
      <w:jc w:val="center"/>
    </w:pPr>
  </w:style>
  <w:style w:type="paragraph" w:styleId="Date">
    <w:name w:val="Date"/>
    <w:next w:val="BodyText"/>
    <w:qFormat/>
    <w:rsid w:val="00072F4F"/>
    <w:pPr>
      <w:keepNext/>
      <w:keepLines/>
      <w:jc w:val="center"/>
    </w:pPr>
    <w:rPr>
      <w:rFonts w:ascii="Times New Roman" w:hAnsi="Times New Roman" w:cs="Times New Roman"/>
    </w:rPr>
  </w:style>
  <w:style w:type="paragraph" w:customStyle="1" w:styleId="Abstract">
    <w:name w:val="Abstract"/>
    <w:basedOn w:val="Normal"/>
    <w:next w:val="BodyText"/>
    <w:qFormat/>
    <w:rsid w:val="001C471C"/>
    <w:pPr>
      <w:keepNext/>
      <w:keepLines/>
      <w:spacing w:before="300" w:after="300"/>
    </w:pPr>
    <w:rPr>
      <w:rFonts w:ascii="Times New Roman" w:hAnsi="Times New Roman" w:cs="Times New Roman"/>
      <w:sz w:val="21"/>
      <w:szCs w:val="21"/>
    </w:rPr>
  </w:style>
  <w:style w:type="paragraph" w:styleId="Bibliography">
    <w:name w:val="Bibliography"/>
    <w:basedOn w:val="Normal"/>
    <w:qFormat/>
    <w:rsid w:val="00152EC2"/>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6C1DE5"/>
    <w:pPr>
      <w:tabs>
        <w:tab w:val="center" w:pos="4680"/>
        <w:tab w:val="right" w:pos="9360"/>
      </w:tabs>
      <w:spacing w:after="0"/>
    </w:pPr>
  </w:style>
  <w:style w:type="character" w:customStyle="1" w:styleId="FooterChar">
    <w:name w:val="Footer Char"/>
    <w:basedOn w:val="DefaultParagraphFont"/>
    <w:link w:val="Footer"/>
    <w:rsid w:val="006C1DE5"/>
  </w:style>
  <w:style w:type="character" w:styleId="PageNumber">
    <w:name w:val="page number"/>
    <w:basedOn w:val="DefaultParagraphFont"/>
    <w:semiHidden/>
    <w:unhideWhenUsed/>
    <w:rsid w:val="006C1DE5"/>
  </w:style>
  <w:style w:type="paragraph" w:styleId="Header">
    <w:name w:val="header"/>
    <w:basedOn w:val="Normal"/>
    <w:link w:val="HeaderChar"/>
    <w:unhideWhenUsed/>
    <w:rsid w:val="00B436BE"/>
    <w:pPr>
      <w:tabs>
        <w:tab w:val="center" w:pos="4680"/>
        <w:tab w:val="right" w:pos="9360"/>
      </w:tabs>
      <w:spacing w:after="0"/>
    </w:pPr>
  </w:style>
  <w:style w:type="character" w:customStyle="1" w:styleId="HeaderChar">
    <w:name w:val="Header Char"/>
    <w:basedOn w:val="DefaultParagraphFont"/>
    <w:link w:val="Header"/>
    <w:rsid w:val="00B4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krkiley/panel_change"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5195/v8.a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bugs.r-project.org/show_bug.cgi?id=16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Correction: Measuring Stability and Change in Personal Culture Using Panel Data</dc:title>
  <dc:creator>Kevin Kiley; Stephen Vaisey</dc:creator>
  <cp:keywords/>
  <cp:lastModifiedBy>Kevin Kiley</cp:lastModifiedBy>
  <cp:revision>2</cp:revision>
  <dcterms:created xsi:type="dcterms:W3CDTF">2022-01-03T16:16:00Z</dcterms:created>
  <dcterms:modified xsi:type="dcterms:W3CDTF">2022-01-03T16:16:00Z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panel_change_bib.bib</vt:lpwstr>
  </property>
  <property fmtid="{D5CDD505-2E9C-101B-9397-08002B2CF9AE}" pid="3" name="date">
    <vt:lpwstr>1/3/2022</vt:lpwstr>
  </property>
  <property fmtid="{D5CDD505-2E9C-101B-9397-08002B2CF9AE}" pid="4" name="header-includes">
    <vt:lpwstr/>
  </property>
  <property fmtid="{D5CDD505-2E9C-101B-9397-08002B2CF9AE}" pid="5" name="indent">
    <vt:lpwstr>True</vt:lpwstr>
  </property>
  <property fmtid="{D5CDD505-2E9C-101B-9397-08002B2CF9AE}" pid="6" name="output">
    <vt:lpwstr/>
  </property>
</Properties>
</file>