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56.png" ContentType="image/png"/>
  <Override PartName="/word/media/rId60.png" ContentType="image/png"/>
  <Override PartName="/word/media/rId61.png" ContentType="image/png"/>
  <Override PartName="/word/media/rId59.png" ContentType="image/png"/>
  <Override PartName="/word/media/rId23.png" ContentType="image/png"/>
  <Override PartName="/word/media/rId44.png" ContentType="image/png"/>
  <Override PartName="/word/media/rId40.png" ContentType="image/png"/>
  <Override PartName="/word/media/rId55.png" ContentType="image/png"/>
  <Override PartName="/word/media/rId48.png" ContentType="image/png"/>
  <Override PartName="/word/media/rId57.png" ContentType="image/png"/>
  <Override PartName="/word/media/rId5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and</w:t>
      </w:r>
      <w:r>
        <w:t xml:space="preserve"> </w:t>
      </w:r>
      <w:r>
        <w:t xml:space="preserve">behaviors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nature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These two models represent different approaches to understanding how people come to hold different forms of</w:t>
      </w:r>
      <w:r>
        <w:t xml:space="preserve"> </w:t>
      </w:r>
      <w:r>
        <w:rPr>
          <w:i/>
        </w:rPr>
        <w:t xml:space="preserve">personal culture</w:t>
      </w:r>
      <w:r>
        <w:t xml:space="preserve">, or the declarative and non-delcarative attitudes, worldviews, values, dispositions, and associations that manifest at the individual level</w:t>
      </w:r>
      <w:r>
        <w:t xml:space="preserve"> </w:t>
      </w:r>
      <w:r>
        <w:t xml:space="preserve">(</w:t>
      </w:r>
      <w:r>
        <w:rPr>
          <w:b/>
        </w:rPr>
        <w:t xml:space="preserve">???</w:t>
      </w:r>
      <w:r>
        <w:t xml:space="preserve">)</w:t>
      </w:r>
      <w:r>
        <w:t xml:space="preserve">.</w:t>
      </w:r>
    </w:p>
    <w:p>
      <w:pPr>
        <w:pStyle w:val="BodyText"/>
      </w:pPr>
      <w:r>
        <w:t xml:space="preserve">In this paper, we make these two models of personal culture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184 items from the 2006-2014 General Social Surveys (GSS). By classifying the pattern of change in personal culture,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are changing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people are more likely to report these attitudes consistently. This suggests that interactional and institutional mechanisms may provide stronger support for lasting change than pressures for intrapsychic consistency.</w:t>
      </w:r>
    </w:p>
    <w:p>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specific policy positions. We argue that there is a place for both the active updating and settled dispositions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different implications for the pattern of individuals’ responses we would observe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theories.</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9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w:t>
      </w:r>
      <w:r>
        <w:t xml:space="preserve"> </w:t>
      </w:r>
      <w:r>
        <w:t xml:space="preserve">(Alwin 2007; Krosnick and Alwin 1989)</w:t>
      </w:r>
      <w:r>
        <w:t xml:space="preserve">. In this framework, we use the term</w:t>
      </w:r>
      <w:r>
        <w:t xml:space="preserve"> </w:t>
      </w:r>
      <w:r>
        <w:t xml:space="preserve">“</w:t>
      </w:r>
      <w:r>
        <w:t xml:space="preserve">updating</w:t>
      </w:r>
      <w:r>
        <w:t xml:space="preserve">”</w:t>
      </w:r>
      <w:r>
        <w:t xml:space="preserve"> </w:t>
      </w:r>
      <w:r>
        <w:t xml:space="preserve">to refer to the change to a new baseline for whatever reason, not necessarily requiring the incorporation of new or better information.</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 Bartels and Jackman 2014; Page and Shapiro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The concept of active updating lies at the heart of most theories that suggest social environments influence individual attitudes and behaviors. When sociologists posit that adults adopt the beliefs and behaviors of their friends</w:t>
      </w:r>
      <w:r>
        <w:t xml:space="preserve"> </w:t>
      </w:r>
      <w:r>
        <w:t xml:space="preserve">(Christakis and Fowler 2009; Centola 2018; DellaPosta, Shi, and Macy 2015)</w:t>
      </w:r>
      <w:r>
        <w:t xml:space="preserve">, or that individuals adopt behaviors that they view as consistent with their cultural dispositions</w:t>
      </w:r>
      <w:r>
        <w:t xml:space="preserve"> </w:t>
      </w:r>
      <w:r>
        <w:t xml:space="preserve">(Goldberg and Stein 2018)</w:t>
      </w:r>
      <w:r>
        <w:t xml:space="preserve">, they invoke this model. When social scientists argue that people adapt their partisan affiliations to conform to their social groupings, change their ideological commitments to conform to their partisan identifications</w:t>
      </w:r>
      <w:r>
        <w:t xml:space="preserve"> </w:t>
      </w:r>
      <w:r>
        <w:t xml:space="preserve">(Green, Palmquist, and Schickler 2002)</w:t>
      </w:r>
      <w:r>
        <w:t xml:space="preserve">, change their partisan affiliations to match their ideological commitments</w:t>
      </w:r>
      <w:r>
        <w:t xml:space="preserve"> </w:t>
      </w:r>
      <w:r>
        <w:t xml:space="preserve">(Baldassarri and Gelman 2008; Abramowitz and Saunders 2006)</w:t>
      </w:r>
      <w:r>
        <w:t xml:space="preserve">, or respond to exposure to diverse opinions by becoming more extreme in their viewpoints</w:t>
      </w:r>
      <w:r>
        <w:t xml:space="preserve"> </w:t>
      </w:r>
      <w:r>
        <w:t xml:space="preserve">(Bail et al. 2018)</w:t>
      </w:r>
      <w:r>
        <w:t xml:space="preserve">, the claim is rarely that these changes are temporary shocks that will revert to a stable baseline over time. Instead, the claim is that the changing social environment changes dispositions, which will then remain stable until the environment changes again.</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BodyText"/>
      </w:pPr>
      <w:r>
        <w:t xml:space="preserve">A number of theories of cultural change at the societal level require evidence of active updating at the individual level, such as arguments that the population is becoming more polarized on political issues</w:t>
      </w:r>
      <w:r>
        <w:t xml:space="preserve"> </w:t>
      </w:r>
      <w:r>
        <w:t xml:space="preserve">(DiMaggio, Evans, and Bryson 1996; Iyengar and Westwood 2015)</w:t>
      </w:r>
      <w:r>
        <w:t xml:space="preserve">, arguments that individuals adjust their political preferences based on the performance of the governing party</w:t>
      </w:r>
      <w:r>
        <w:t xml:space="preserve"> </w:t>
      </w:r>
      <w:r>
        <w:t xml:space="preserve">(Page and Shapiro 1992; Bartels and Jackman 2014)</w:t>
      </w:r>
      <w:r>
        <w:t xml:space="preserve">, arguments that new ideas diffuse across the population through person-to-person contact</w:t>
      </w:r>
      <w:r>
        <w:t xml:space="preserve"> </w:t>
      </w:r>
      <w:r>
        <w:t xml:space="preserve">(Centola 2018)</w:t>
      </w:r>
      <w:r>
        <w:t xml:space="preserve">, and arguments that changes in elite discourse drive change in mass opinion</w:t>
      </w:r>
      <w:r>
        <w:t xml:space="preserve"> </w:t>
      </w:r>
      <w:r>
        <w:t xml:space="preserve">(Zaller 1992)</w:t>
      </w:r>
      <w:r>
        <w:t xml:space="preserve">. In the absence of evidence that people change their minds in persisting ways, these theories cannot be valid at the aggregate level, and we must seek other explanations for aggregate changes.</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 At its core, this model reflects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p>
    <w:p>
      <w:pPr>
        <w:pStyle w:val="BodyText"/>
      </w:pPr>
      <w:r>
        <w:t xml:space="preserve">The SDM underlies theories that suggest that individuals are stable in their dispositions throughout life or, if they do change, tend to revert back to a relatively stable baseline in short time, including</w:t>
      </w:r>
      <w:r>
        <w:t xml:space="preserve"> </w:t>
      </w:r>
      <w:r>
        <w:t xml:space="preserve">“</w:t>
      </w:r>
      <w:r>
        <w:t xml:space="preserve">control</w:t>
      </w:r>
      <w:r>
        <w:t xml:space="preserve">”</w:t>
      </w:r>
      <w:r>
        <w:t xml:space="preserve"> </w:t>
      </w:r>
      <w:r>
        <w:t xml:space="preserve">theories such as Identity Control Theory and Affect Control Theory</w:t>
      </w:r>
      <w:r>
        <w:t xml:space="preserve"> </w:t>
      </w:r>
      <w:r>
        <w:t xml:space="preserve">(Robinson 2007; Smith-Lovin and Heise 1988)</w:t>
      </w:r>
      <w:r>
        <w:t xml:space="preserve">.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 (Mannheim 1952; Ryder 1965). Vaisey and Lizardo (2016), looking at a range of opinion items in the GSS, suggest that change for most likely comes in the form of cohort replacement.</w:t>
      </w:r>
    </w:p>
    <w:p>
      <w:pPr>
        <w:pStyle w:val="BodyText"/>
      </w:pPr>
      <w:r>
        <w:t xml:space="preserve">On its face, the settled dispositions model might seem to imply that individuals hold strong, consistent opinions, but this does not need to be the case. The settled dispositions model is also consistent with theories that suggest that people lack stable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 (Zaller 1992; Converse 1964), and suggest that peoples’ responses at any particular time are a random deviation from a baseline, with this deviation often assumed to be random and commonly referred to as a form of</w:t>
      </w:r>
      <w:r>
        <w:t xml:space="preserve"> </w:t>
      </w:r>
      <w:r>
        <w:t xml:space="preserve">“</w:t>
      </w:r>
      <w:r>
        <w:t xml:space="preserve">measurement error</w:t>
      </w:r>
      <w:r>
        <w:t xml:space="preserve">”</w:t>
      </w:r>
      <w:r>
        <w:t xml:space="preserve"> </w:t>
      </w:r>
      <w:r>
        <w:t xml:space="preserve">(Page and Shapiro 1992; Converse 1964)</w:t>
      </w:r>
      <w:r>
        <w:t xml:space="preserve">. As long as these deviations are random, there is no reason to perceive these changes as a form of updating, even if these wave-to-wave differences are quite large.</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these shifts will be erased over time as people return to their baselines.</w:t>
      </w:r>
    </w:p>
    <w:p>
      <w:pPr>
        <w:pStyle w:val="BodyText"/>
      </w:pPr>
      <w:r>
        <w:t xml:space="preserve">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w:t>
      </w:r>
      <w:r>
        <w:t xml:space="preserve"> </w:t>
      </w:r>
      <w:r>
        <w:t xml:space="preserve">“</w:t>
      </w:r>
      <w:r>
        <w:t xml:space="preserve">measurement error,</w:t>
      </w:r>
      <w:r>
        <w:t xml:space="preserve">”</w:t>
      </w:r>
      <w:r>
        <w:t xml:space="preserve"> </w:t>
      </w:r>
      <w:r>
        <w:t xml:space="preserve">and theories that suggest that changes in belief are not real</w:t>
      </w:r>
      <w:r>
        <w:t xml:space="preserve"> </w:t>
      </w:r>
      <w:r>
        <w:t xml:space="preserve">(Page and Shapiro 1992)</w:t>
      </w:r>
      <w:r>
        <w:t xml:space="preserve"> </w:t>
      </w:r>
      <w:r>
        <w:t xml:space="preserve">would be unsupported. Similarly, an item would have to be relatively stable for most adults for aggregate cultural change to come primarily through cohort replacement</w:t>
      </w:r>
      <w:r>
        <w:t xml:space="preserve"> </w:t>
      </w:r>
      <w:r>
        <w:t xml:space="preserve">(Ryder 1965)</w:t>
      </w:r>
      <w:r>
        <w:t xml:space="preserve">.</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 As such, we designate a second term,</w:t>
      </w:r>
      <w:r>
        <w:t xml:space="preserve"> </w:t>
      </w:r>
      <w:r>
        <w:rPr>
          <w:i/>
        </w:rPr>
        <w:t xml:space="preserve">consistency</w:t>
      </w:r>
      <w:r>
        <w:t xml:space="preserve">, to reflect this second dimension of change.</w:t>
      </w:r>
      <w:r>
        <w:t xml:space="preserve"> </w:t>
      </w:r>
      <w:r>
        <w:rPr>
          <w:i/>
        </w:rPr>
        <w:t xml:space="preserve">Consistency</w:t>
      </w:r>
      <w:r>
        <w:t xml:space="preserve"> </w:t>
      </w:r>
      <w:r>
        <w:t xml:space="preserve">here simply refers to the degree that the attitude development process departs from pure randomness.</w:t>
      </w:r>
    </w:p>
    <w:p>
      <w:pPr>
        <w:pStyle w:val="Heading2"/>
      </w:pPr>
      <w:bookmarkStart w:id="27" w:name="toward-theoretical-synthesis"/>
      <w:r>
        <w:t xml:space="preserve">Toward Theoretical Synthesis</w:t>
      </w:r>
      <w:bookmarkEnd w:id="27"/>
    </w:p>
    <w:p>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of change at the aggregate level.</w:t>
      </w:r>
    </w:p>
    <w:p>
      <w:pPr>
        <w:pStyle w:val="BodyText"/>
      </w:pPr>
      <w:r>
        <w:t xml:space="preserve">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display settled dispositions. There are at least three ways to understand how both models could be present in the population without contradiction: age-based differences, core-periphery models, and public-private differences.</w:t>
      </w:r>
    </w:p>
    <w:p>
      <w:pPr>
        <w:pStyle w:val="BodyText"/>
      </w:pPr>
      <w:r>
        <w:rPr>
          <w:i/>
        </w:rPr>
        <w:t xml:space="preserve">Age-based differences:</w:t>
      </w:r>
      <w:r>
        <w:t xml:space="preserve"> </w:t>
      </w:r>
      <w:r>
        <w:t xml:space="preserve">The concept of a</w:t>
      </w:r>
      <w:r>
        <w:t xml:space="preserve"> </w:t>
      </w:r>
      <w:r>
        <w:t xml:space="preserve">“</w:t>
      </w:r>
      <w:r>
        <w:t xml:space="preserve">cohort effect</w:t>
      </w:r>
      <w:r>
        <w:t xml:space="preserve">”</w:t>
      </w:r>
      <w:r>
        <w:t xml:space="preserve"> </w:t>
      </w:r>
      <w:r>
        <w:t xml:space="preserve">is that the environment influences the baseline response tendency when a person is young and then stabilizes for the remainder of one’s life</w:t>
      </w:r>
      <w:r>
        <w:t xml:space="preserve"> </w:t>
      </w:r>
      <w:r>
        <w:t xml:space="preserve">(Elder 1974; Bartels and Jackman 2014)</w:t>
      </w:r>
      <w:r>
        <w:t xml:space="preserve">. To put it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Items that reflect a cohort replacement pattern should demonstrate low active updating at the individual level for most adults but high active updating for young people, as this is the period most commonly found to be susceptible to attitude change</w:t>
      </w:r>
      <w:r>
        <w:t xml:space="preserve"> </w:t>
      </w:r>
      <w:r>
        <w:t xml:space="preserve">(Glenn 1974; Inglehart and Baker 2000; Visser and Krosnick 1998; Danigelis, Hardy, and Cutler 2007)</w:t>
      </w:r>
      <w:r>
        <w:t xml:space="preserve">.</w:t>
      </w:r>
    </w:p>
    <w:p>
      <w:pPr>
        <w:pStyle w:val="BodyText"/>
      </w:pPr>
      <w:r>
        <w:rPr>
          <w:i/>
        </w:rPr>
        <w:t xml:space="preserve">Core-periphery models:</w:t>
      </w:r>
      <w:r>
        <w:t xml:space="preserve"> </w:t>
      </w:r>
      <w:r>
        <w:t xml:space="preserve">A number of theories of attitude development posit that people hold</w:t>
      </w:r>
      <w:r>
        <w:t xml:space="preserve"> </w:t>
      </w:r>
      <w:r>
        <w:t xml:space="preserve">“</w:t>
      </w:r>
      <w:r>
        <w:t xml:space="preserve">core</w:t>
      </w:r>
      <w:r>
        <w:t xml:space="preserve">”</w:t>
      </w:r>
      <w:r>
        <w:t xml:space="preserve"> </w:t>
      </w:r>
      <w:r>
        <w:t xml:space="preserve">beliefs that they use to adjudicate peripheral attitudes, such as views on specific policy questions</w:t>
      </w:r>
      <w:r>
        <w:t xml:space="preserve"> </w:t>
      </w:r>
      <w:r>
        <w:t xml:space="preserve">(Boutyline and Vaisey 2017; Goldberg and Stein 2018)</w:t>
      </w:r>
      <w:r>
        <w:t xml:space="preserve">. Much work in political science has sought to understand whether people use ideological identity, policy positions, moral beliefs, or partisanship to adjudicate their position on other issues</w:t>
      </w:r>
      <w:r>
        <w:t xml:space="preserve"> </w:t>
      </w:r>
      <w:r>
        <w:t xml:space="preserve">(Lakoff 2002; Green, Palmquist, and Schickler 2002; Kinder and Kalmoe 2017)</w:t>
      </w:r>
      <w:r>
        <w:t xml:space="preserve">. In their analysis of cross-sectional data, Boutyline and Vaisey</w:t>
      </w:r>
      <w:r>
        <w:t xml:space="preserve"> </w:t>
      </w:r>
      <w:r>
        <w:t xml:space="preserve">(2017)</w:t>
      </w:r>
      <w:r>
        <w:t xml:space="preserve"> </w:t>
      </w:r>
      <w:r>
        <w:t xml:space="preserve">find support for ideological identification as the</w:t>
      </w:r>
      <w:r>
        <w:t xml:space="preserve"> </w:t>
      </w:r>
      <w:r>
        <w:t xml:space="preserve">“</w:t>
      </w:r>
      <w:r>
        <w:t xml:space="preserve">core</w:t>
      </w:r>
      <w:r>
        <w:t xml:space="preserve">”</w:t>
      </w:r>
      <w:r>
        <w:t xml:space="preserve"> </w:t>
      </w:r>
      <w:r>
        <w:t xml:space="preserve">belief in the political space, consistent with Converse’s</w:t>
      </w:r>
      <w:r>
        <w:t xml:space="preserve"> </w:t>
      </w:r>
      <w:r>
        <w:t xml:space="preserve">(1964)</w:t>
      </w:r>
      <w:r>
        <w:t xml:space="preserve"> </w:t>
      </w:r>
      <w:r>
        <w:t xml:space="preserve">notion of social constraint. Baldassari and Gelman</w:t>
      </w:r>
      <w:r>
        <w:t xml:space="preserve"> </w:t>
      </w:r>
      <w:r>
        <w:t xml:space="preserve">(2008)</w:t>
      </w:r>
      <w:r>
        <w:t xml:space="preserve"> </w:t>
      </w:r>
      <w:r>
        <w:t xml:space="preserve">find an increased alignment between partisan identification and policy positions, but little increase in the correlation between specific policy positions over time.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most policy issues should show little active updating, but partisan affiliation should demonstrate the highest level.</w:t>
      </w:r>
    </w:p>
    <w:p>
      <w:pPr>
        <w:pStyle w:val="BodyText"/>
      </w:pPr>
      <w:r>
        <w:t xml:space="preserve">These core-periphery models suggest that core beliefs should be relatively stable, that changes in core beliefs should necessitate changes in peripheral beliefs, and that people attempt to align their peripheral beliefs with their core beliefs. In our framework, beliefs and behaviors that exhibit stable dispositions are more likely to be</w:t>
      </w:r>
      <w:r>
        <w:t xml:space="preserve"> </w:t>
      </w:r>
      <w:r>
        <w:t xml:space="preserve">“</w:t>
      </w:r>
      <w:r>
        <w:t xml:space="preserve">core</w:t>
      </w:r>
      <w:r>
        <w:t xml:space="preserve">”</w:t>
      </w:r>
      <w:r>
        <w:t xml:space="preserve"> </w:t>
      </w:r>
      <w:r>
        <w:t xml:space="preserve">beliefs than those that exhibit active updating. Core beliefs should also be more consistently reported, since individuals should know where they stand on these core questions. Determining where one stands on peripheral issues requires greater cognitive effort and therefore are more prone to random perturbations, so should be reported less consistently.</w:t>
      </w:r>
    </w:p>
    <w:p>
      <w:pPr>
        <w:pStyle w:val="BodyText"/>
      </w:pPr>
      <w:r>
        <w:rPr>
          <w:i/>
        </w:rPr>
        <w:t xml:space="preserve">Public vs. Private Culture:</w:t>
      </w:r>
      <w:r>
        <w:t xml:space="preserve"> </w:t>
      </w:r>
      <w:r>
        <w:t xml:space="preserve">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However, when public culture provides a strong</w:t>
      </w:r>
      <w:r>
        <w:t xml:space="preserve"> </w:t>
      </w:r>
      <w:r>
        <w:t xml:space="preserve">“</w:t>
      </w:r>
      <w:r>
        <w:t xml:space="preserve">scaffold</w:t>
      </w:r>
      <w:r>
        <w:t xml:space="preserve">”</w:t>
      </w:r>
      <w:r>
        <w:t xml:space="preserve"> </w:t>
      </w:r>
      <w:r>
        <w:t xml:space="preserve">through clear signals of how identities and social locations should influence opinions, it becomes easier for people to maintain consistency</w:t>
      </w:r>
      <w:r>
        <w:t xml:space="preserve"> </w:t>
      </w:r>
      <w:r>
        <w:t xml:space="preserve">(Lizardo and Strand 2010)</w:t>
      </w:r>
      <w:r>
        <w:t xml:space="preserve">.</w:t>
      </w:r>
    </w:p>
    <w:p>
      <w:pPr>
        <w:pStyle w:val="BodyText"/>
      </w:pPr>
      <w:r>
        <w:t xml:space="preserve">Theories that argue that individuals do not hold consistent opinions also posit that issues that receive significant media attention can be reported more consistently than other issues</w:t>
      </w:r>
      <w:r>
        <w:t xml:space="preserve"> </w:t>
      </w:r>
      <w:r>
        <w:t xml:space="preserve">(Zaller 1992; Converse 1964)</w:t>
      </w:r>
      <w:r>
        <w:t xml:space="preserve">. This means a small number of high-profile issues might demonstrate a higher rate of consistency, but we do not expect high rates of active updating for most of these. However, we do highlight one issue that saw significant change in elite opinion, which should lead to active updating in the general population. In the time frame we observe (2006-2014), there was a major shift in elite opinion on the issue of gay rights. Leaders of the Democratic Party (including President Barack Obama) came out in favor of legalizing gay marriage, and a number of Republican Party leaders also began to express support for gay marriage. For this issue, we expect to find evidence of active updating throughout the population, not just among young people.</w:t>
      </w:r>
    </w:p>
    <w:p>
      <w:pPr>
        <w:pStyle w:val="BodyText"/>
      </w:pPr>
      <w:r>
        <w:t xml:space="preserve">Items that tap some public dimension of behavior and attitudes are likely to show higher levels of active updating because social mechanisms, such as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BodyText"/>
      </w:pPr>
      <w:r>
        <w:t xml:space="preserve">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28" w:name="research-questions-and-expectations"/>
      <w:r>
        <w:t xml:space="preserve">Research Questions and Expectations</w:t>
      </w:r>
      <w:bookmarkEnd w:id="28"/>
    </w:p>
    <w:p>
      <w:pPr>
        <w:pStyle w:val="FirstParagraph"/>
      </w:pPr>
      <w:r>
        <w:t xml:space="preserve">With these considerations in mind, we ask the following questions:</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exhibit different levels of active updating and consistency?</w:t>
      </w:r>
      <w:r>
        <w:t xml:space="preserve"> </w:t>
      </w:r>
      <w:r>
        <w:t xml:space="preserve">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pPr>
        <w:pStyle w:val="Heading1"/>
      </w:pPr>
      <w:bookmarkStart w:id="29" w:name="analytic-strategy"/>
      <w:r>
        <w:t xml:space="preserve">Analytic Strategy</w:t>
      </w:r>
      <w:bookmarkEnd w:id="29"/>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0" w:name="statistical-model"/>
      <w:r>
        <w:t xml:space="preserve">Statistical Model</w:t>
      </w:r>
      <w:bookmarkEnd w:id="30"/>
    </w:p>
    <w:p>
      <w:pPr>
        <w:pStyle w:val="Heading3"/>
      </w:pPr>
      <w:bookmarkStart w:id="31" w:name="basic-models"/>
      <w:r>
        <w:t xml:space="preserve">Basic Models</w:t>
      </w:r>
      <w:bookmarkEnd w:id="31"/>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and that wave 1 carries no additional information in predicting wave 3 once we control for wave 2 (the coefficient on this term should be 0). If change is persisting, then our best guess is that a person’s response will be close to what they said last time,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then taking the average of the last two responses will be our best guess about a person’s underlying position.</w:t>
      </w:r>
    </w:p>
    <w:p>
      <w:pPr>
        <w:pStyle w:val="Heading3"/>
      </w:pPr>
      <w:bookmarkStart w:id="32" w:name="combined-model"/>
      <w:r>
        <w:t xml:space="preserve">Combined Model</w:t>
      </w:r>
      <w:bookmarkEnd w:id="32"/>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sample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3" w:name="comparison-to-other-approaches"/>
      <w:r>
        <w:t xml:space="preserve">Comparison to Other Approaches</w:t>
      </w:r>
      <w:bookmarkEnd w:id="33"/>
    </w:p>
    <w:p>
      <w:pPr>
        <w:pStyle w:val="FirstParagraph"/>
      </w:pPr>
      <w:r>
        <w:t xml:space="preserve">Our model is not the first to measure stability and change in panel data, but existing models make assumptions that eliminate the distinction between data-generating processes we seek to test. Hout and Hastings</w:t>
      </w:r>
      <w:r>
        <w:t xml:space="preserve"> </w:t>
      </w:r>
      <w:r>
        <w:t xml:space="preserve">(2016)</w:t>
      </w:r>
      <w:r>
        <w:t xml:space="preserve"> </w:t>
      </w:r>
      <w:r>
        <w:t xml:space="preserve">use a hierarchical model to measure reliability in GSS survey responses over time.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w:t>
      </w:r>
      <w:r>
        <w:t xml:space="preserve"> </w:t>
      </w:r>
      <w:r>
        <w:t xml:space="preserve">(2007)</w:t>
      </w:r>
      <w:r>
        <w:t xml:space="preserve"> </w:t>
      </w:r>
      <w:r>
        <w:t xml:space="preserve">and Heise</w:t>
      </w:r>
      <w:r>
        <w:t xml:space="preserve"> </w:t>
      </w:r>
      <w:r>
        <w:t xml:space="preserve">(1969)</w:t>
      </w:r>
      <w:r>
        <w:t xml:space="preserve"> </w:t>
      </w:r>
      <w:r>
        <w:t xml:space="preserve">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w:t>
      </w:r>
      <w:r>
        <w:t xml:space="preserve"> </w:t>
      </w:r>
      <w:r>
        <w:t xml:space="preserve">“</w:t>
      </w:r>
      <w:r>
        <w:t xml:space="preserve">structural</w:t>
      </w:r>
      <w:r>
        <w:t xml:space="preserve">”</w:t>
      </w:r>
      <w:r>
        <w:t xml:space="preserve"> </w:t>
      </w:r>
      <w:r>
        <w:t xml:space="preserve">and</w:t>
      </w:r>
      <w:r>
        <w:t xml:space="preserve"> </w:t>
      </w:r>
      <w:r>
        <w:t xml:space="preserve">“</w:t>
      </w:r>
      <w:r>
        <w:t xml:space="preserve">non-structural,</w:t>
      </w:r>
      <w:r>
        <w:t xml:space="preserve">”</w:t>
      </w:r>
      <w:r>
        <w:t xml:space="preserve"> </w:t>
      </w:r>
      <w:r>
        <w:t xml:space="preserve">both of which can be persisting and non-persisting. This distinction, while important for some theoretical questions, is not our focus.</w:t>
      </w:r>
    </w:p>
    <w:p>
      <w:pPr>
        <w:pStyle w:val="BodyText"/>
      </w:pPr>
      <w:r>
        <w:t xml:space="preserve">A number of other approaches seek to understand the consistency of latent beliefs by combining and scaling responses to questions that represent the same latent concept</w:t>
      </w:r>
      <w:r>
        <w:t xml:space="preserve"> </w:t>
      </w:r>
      <w:r>
        <w:t xml:space="preserve">(Ansolabehere, Rodden, and Jr. 2008)</w:t>
      </w:r>
      <w:r>
        <w:t xml:space="preserve">, assuming that wave-to-wave changes in responses tend to represent measurement errors around a</w:t>
      </w:r>
      <w:r>
        <w:t xml:space="preserve"> </w:t>
      </w:r>
      <w:r>
        <w:t xml:space="preserve">“</w:t>
      </w:r>
      <w:r>
        <w:t xml:space="preserve">true</w:t>
      </w:r>
      <w:r>
        <w:t xml:space="preserve">”</w:t>
      </w:r>
      <w:r>
        <w:t xml:space="preserve"> </w:t>
      </w:r>
      <w:r>
        <w:t xml:space="preserve">latent belief. This raises the distinction between the</w:t>
      </w:r>
      <w:r>
        <w:t xml:space="preserve"> </w:t>
      </w:r>
      <w:r>
        <w:rPr>
          <w:i/>
        </w:rPr>
        <w:t xml:space="preserve">stability of a belief</w:t>
      </w:r>
      <w:r>
        <w:t xml:space="preserve"> </w:t>
      </w:r>
      <w:r>
        <w:t xml:space="preserve">and the</w:t>
      </w:r>
      <w:r>
        <w:t xml:space="preserve"> </w:t>
      </w:r>
      <w:r>
        <w:rPr>
          <w:i/>
        </w:rPr>
        <w:t xml:space="preserve">stability of a survey question response</w:t>
      </w:r>
      <w:r>
        <w:t xml:space="preserve">. Since we at times invoke both these models, we include a handful of composite scales (discussed below) of related items. If wave-to-wave changes in survey responses are non-persisting measurement errors, then scales should have higher consistency than the measures they comprise, but we should see no difference in persistence.</w:t>
      </w:r>
    </w:p>
    <w:p>
      <w:pPr>
        <w:pStyle w:val="BodyText"/>
      </w:pPr>
      <w:r>
        <w:t xml:space="preserve">Another possibility is that participation in the survey itself produces change or stability, referred to as panel conditioning bias</w:t>
      </w:r>
      <w:r>
        <w:t xml:space="preserve"> </w:t>
      </w:r>
      <w:r>
        <w:t xml:space="preserve">(Warren and Halpern-Manners 2012; Oh, Yeatman, and Trinitapoli 2019)</w:t>
      </w:r>
      <w:r>
        <w:t xml:space="preserve">. While Warren and Halpern-Manners</w:t>
      </w:r>
      <w:r>
        <w:t xml:space="preserve"> </w:t>
      </w:r>
      <w:r>
        <w:t xml:space="preserve">(2012)</w:t>
      </w:r>
      <w:r>
        <w:t xml:space="preserve"> </w:t>
      </w:r>
      <w:r>
        <w:t xml:space="preserve">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w:t>
      </w:r>
      <w:r>
        <w:t xml:space="preserve"> </w:t>
      </w:r>
      <w:r>
        <w:t xml:space="preserve">“</w:t>
      </w:r>
      <w:r>
        <w:t xml:space="preserve">game</w:t>
      </w:r>
      <w:r>
        <w:t xml:space="preserve">”</w:t>
      </w:r>
      <w:r>
        <w:t xml:space="preserve"> </w:t>
      </w:r>
      <w:r>
        <w:t xml:space="preserve">the survey to get through it faster. If this were taking place in the GSS, it would result in a pattern of high active updating and high consistency, as respondents would change between waves 1 and 2, and wave 2 becomes a better predictor of wave 3.</w:t>
      </w:r>
    </w:p>
    <w:p>
      <w:pPr>
        <w:pStyle w:val="BodyText"/>
      </w:pPr>
      <w:r>
        <w:t xml:space="preserve">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the population, which would hinder our ability to extrapolate our findings, but would still provide evidence that people update their beliefs over time.</w:t>
      </w:r>
    </w:p>
    <w:p>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population. However, if this is the case, we should observe no active updating in responses and high levels of consistency, as it would be illogical for individuals to report random changes if they were attempting to maintain consistency.</w:t>
      </w:r>
    </w:p>
    <w:p>
      <w:pPr>
        <w:pStyle w:val="BodyText"/>
      </w:pPr>
      <w:r>
        <w:t xml:space="preserve">Finally, a number of approaches exist for evaluating theoretical process of belief change for the population, such as examining the association between theoretically related values</w:t>
      </w:r>
      <w:r>
        <w:t xml:space="preserve"> </w:t>
      </w:r>
      <w:r>
        <w:t xml:space="preserve">(Baldassarri and Gelman 2008; Boutyline and Vaisey 2017)</w:t>
      </w:r>
      <w:r>
        <w:t xml:space="preserve">, or by looking at changes in the distribution of responses over time</w:t>
      </w:r>
      <w:r>
        <w:t xml:space="preserve"> </w:t>
      </w:r>
      <w:r>
        <w:t xml:space="preserve">(DiMaggio, Evans, and Bryson 1996)</w:t>
      </w:r>
      <w:r>
        <w:t xml:space="preserve">. These tools are well designed to address the questions they set out to answer. However, since our theoretical questions focus on the process of belief change within individuals, these do not speak to our core concerns.</w:t>
      </w:r>
    </w:p>
    <w:p>
      <w:pPr>
        <w:pStyle w:val="Heading3"/>
      </w:pPr>
      <w:bookmarkStart w:id="34" w:name="limitations-of-the-method"/>
      <w:r>
        <w:t xml:space="preserve">Limitations of the Method</w:t>
      </w:r>
      <w:bookmarkEnd w:id="34"/>
    </w:p>
    <w:p>
      <w:pPr>
        <w:pStyle w:val="FirstParagraph"/>
      </w:pPr>
      <w:r>
        <w:t xml:space="preserve">Three challenges limit our ability to evaluate the presence of settled dispositions and active updating models using our approach. These challenges put some limitations on the conclusions we can reach.</w:t>
      </w:r>
    </w:p>
    <w:p>
      <w:pPr>
        <w:pStyle w:val="BodyText"/>
      </w:pPr>
      <w:r>
        <w:t xml:space="preserve">The first is that our model is designed to allocate variance explained to each of the prior predictors rather than to assign probabilities to each data-generating process. Because of this, a few individuals making large persisting changes can inflate the</w:t>
      </w:r>
      <w:r>
        <w:t xml:space="preserve"> </w:t>
      </w:r>
      <m:oMath>
        <m:r>
          <m:t>ϕ</m:t>
        </m:r>
      </m:oMath>
      <w:r>
        <w:t xml:space="preserve"> </w:t>
      </w:r>
      <w:r>
        <w:t xml:space="preserve">estimate even if most individuals make small non-persisting changes.</w:t>
      </w:r>
    </w:p>
    <w:p>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reflects errors of selection and interpretation, such as misunderstanding the question or incorrect coding.</w:t>
      </w:r>
    </w:p>
    <w:p>
      <w:pPr>
        <w:pStyle w:val="BodyText"/>
      </w:pPr>
      <w:r>
        <w:t xml:space="preserve">Because measurement error looks the same as non-persisting real change (and because the latter is sometimes interpreted as the former), estimates of</w:t>
      </w:r>
      <w:r>
        <w:t xml:space="preserve"> </w:t>
      </w:r>
      <m:oMath>
        <m:r>
          <m:t>ϕ</m:t>
        </m:r>
      </m:oMath>
      <w:r>
        <w:t xml:space="preserve"> </w:t>
      </w:r>
      <w:r>
        <w:t xml:space="preserve">will be biased toward .5, since wave 1 would be informative for all individuals who do change. There is evidence that many of the items explored in our analysis are measured with significant error</w:t>
      </w:r>
      <w:r>
        <w:t xml:space="preserve"> </w:t>
      </w:r>
      <w:r>
        <w:t xml:space="preserve">(Alwin 2007; Hout and Hastings 2016)</w:t>
      </w:r>
      <w:r>
        <w:t xml:space="preserve">. On the other hand, previous studies of measurement reliability tend to conflate measurement error and non-persisting real change in attitudes, meaning that while we might have good estimates for the combination of these two processes, we cannot separate them. Because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on predicting wave 3. If individuals have a high likelihood of changing between waves 2 and 3, our ability to predict responses at wave 3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w:t>
      </w:r>
      <w:r>
        <w:t xml:space="preserve"> </w:t>
      </w:r>
      <w:r>
        <w:t xml:space="preserve">“</w:t>
      </w:r>
      <w:r>
        <w:t xml:space="preserve">persistent.</w:t>
      </w:r>
      <w:r>
        <w:t xml:space="preserve">”</w:t>
      </w:r>
    </w:p>
    <w:p>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5" w:name="analysis-steps"/>
      <w:r>
        <w:t xml:space="preserve">Analysis Steps</w:t>
      </w:r>
      <w:bookmarkEnd w:id="35"/>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show at least some evidence of active updating (</w:t>
      </w:r>
      <m:oMath>
        <m:r>
          <m:t>ϕ</m:t>
        </m:r>
        <m:r>
          <m:t>&gt;</m:t>
        </m:r>
        <m:r>
          <m:t>0.5</m:t>
        </m:r>
      </m:oMath>
      <w:r>
        <w:t xml:space="preserve">), we ask whether the persistent change is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largely inductive.</w:t>
      </w:r>
    </w:p>
    <w:p>
      <w:pPr>
        <w:pStyle w:val="Heading2"/>
      </w:pPr>
      <w:bookmarkStart w:id="36" w:name="item-selection"/>
      <w:r>
        <w:t xml:space="preserve">Item Selection</w:t>
      </w:r>
      <w:bookmarkEnd w:id="36"/>
    </w:p>
    <w:p>
      <w:pPr>
        <w:pStyle w:val="FirstParagraph"/>
      </w:pPr>
      <w:r>
        <w:t xml:space="preserve">We want to test our model on as broad a range of items tapping attitudes, beliefs, and social behaviors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common scales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 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37"/>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38" w:name="results"/>
      <w:r>
        <w:t xml:space="preserve">Results</w:t>
      </w:r>
      <w:bookmarkEnd w:id="38"/>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variance predicted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w:t>
      </w:r>
    </w:p>
    <w:p>
      <w:pPr>
        <w:pStyle w:val="Heading2"/>
      </w:pPr>
      <w:bookmarkStart w:id="39" w:name="evidence-for-active-updating"/>
      <w:r>
        <w:t xml:space="preserve">Evidence for Active Updating</w:t>
      </w:r>
      <w:bookmarkEnd w:id="39"/>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9_files/figure-docx/phihist-1.png" id="0" name="Picture"/>
                    <pic:cNvPicPr>
                      <a:picLocks noChangeArrowheads="1" noChangeAspect="1"/>
                    </pic:cNvPicPr>
                  </pic:nvPicPr>
                  <pic:blipFill>
                    <a:blip r:embed="rId40"/>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waves 1 and 2 maintained the same response at wave 3. Therefore, we only have evidence that about 18 individuals (less than one percent of the sample) showed evidence of persisting change. In other words, even for items that show strong evidence of active updating, the overall rate of attitude change in the population is likely small.</w:t>
      </w:r>
    </w:p>
    <w:p>
      <w:pPr>
        <w:pStyle w:val="BodyText"/>
      </w:pPr>
      <w:r>
        <w:t xml:space="preserve">The right side of Figure</w:t>
      </w:r>
      <w:r>
        <w:t xml:space="preserve"> </w:t>
      </w:r>
      <w:r>
        <w:t xml:space="preserve">2</w:t>
      </w:r>
      <w:r>
        <w:t xml:space="preserve"> </w:t>
      </w:r>
      <w:r>
        <w:t xml:space="preserve">shows that although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meaning that for almost all items, measurement error or non-persistent change tends to be much more common than persistent change.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1" w:name="age-heterogeneity"/>
      <w:r>
        <w:t xml:space="preserve">Age Heterogeneity</w:t>
      </w:r>
      <w:bookmarkEnd w:id="41"/>
    </w:p>
    <w:p>
      <w:pPr>
        <w:pStyle w:val="FirstParagraph"/>
      </w:pPr>
      <w:r>
        <w:t xml:space="preserve">Our second research question asks whether there is evidence that younger respondents are updating their views more than older respondents. Although it’s impossible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9_files/figure-docx/agegroupcomparison-1.png" id="0" name="Picture"/>
                    <pic:cNvPicPr>
                      <a:picLocks noChangeArrowheads="1" noChangeAspect="1"/>
                    </pic:cNvPicPr>
                  </pic:nvPicPr>
                  <pic:blipFill>
                    <a:blip r:embed="rId42"/>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people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beliefs quickly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hypothesis, where attitude change gradually becomes less likely as individuals age</w:t>
      </w:r>
      <w:r>
        <w:t xml:space="preserve"> </w:t>
      </w:r>
      <w:r>
        <w:t xml:space="preserve">(Glenn 1974; Inglehart and Baker 2000)</w:t>
      </w:r>
      <w:r>
        <w:t xml:space="preserve">.</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early in life. This pattern where older individuals change their attitudes and behaviors at higher rates than younger individuals is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previously theorized.</w:t>
      </w:r>
    </w:p>
    <w:p>
      <w:pPr>
        <w:pStyle w:val="BodyText"/>
      </w:pPr>
      <w:r>
        <w:t xml:space="preserve">The remaining 89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3" w:name="item-heterogeneity"/>
      <w:r>
        <w:t xml:space="preserve">Item heterogeneity</w:t>
      </w:r>
      <w:bookmarkEnd w:id="43"/>
    </w:p>
    <w:p>
      <w:pPr>
        <w:pStyle w:val="FirstParagraph"/>
      </w:pPr>
      <w:r>
        <w:t xml:space="preserve">While there is a high proportion (40 percent) of items that show no evidence of active updating, and those that do show evidence tend to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shaded by whether they preferred the</w:t>
      </w:r>
      <w:r>
        <w:t xml:space="preserve"> </w:t>
      </w:r>
      <m:oMath>
        <m:r>
          <m:t>ϕ</m:t>
        </m:r>
        <m:r>
          <m:t>=</m:t>
        </m:r>
        <m:r>
          <m:t>.5</m:t>
        </m:r>
      </m:oMath>
      <w:r>
        <w:t xml:space="preserve"> </w:t>
      </w:r>
      <w:r>
        <w:t xml:space="preserve">constraint or not and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9_files/figure-docx/phibetascatter-1.png" id="0" name="Picture"/>
                    <pic:cNvPicPr>
                      <a:picLocks noChangeArrowheads="1" noChangeAspect="1"/>
                    </pic:cNvPicPr>
                  </pic:nvPicPr>
                  <pic:blipFill>
                    <a:blip r:embed="rId44"/>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9_files/figure-docx/summary-1.png" id="0" name="Picture"/>
                    <pic:cNvPicPr>
                      <a:picLocks noChangeArrowheads="1" noChangeAspect="1"/>
                    </pic:cNvPicPr>
                  </pic:nvPicPr>
                  <pic:blipFill>
                    <a:blip r:embed="rId45"/>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6"/>
      </w:r>
    </w:p>
    <w:p>
      <w:pPr>
        <w:pStyle w:val="BodyText"/>
      </w:pPr>
      <w:r>
        <w:t xml:space="preserve">Consistent with the findings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low</w:t>
      </w:r>
      <w:r>
        <w:t xml:space="preserve"> </w:t>
      </w:r>
      <m:oMath>
        <m:r>
          <m:t>ϕ</m:t>
        </m:r>
      </m:oMath>
      <w:r>
        <w:t xml:space="preserve"> </w:t>
      </w:r>
      <w:r>
        <w:t xml:space="preserve">values. The items with the largest values generally have one or more attributes in common. We consider these attributes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help maintain them, perhaps making changes</w:t>
      </w:r>
      <w:r>
        <w:t xml:space="preserve"> </w:t>
      </w:r>
      <w:r>
        <w:t xml:space="preserve">“</w:t>
      </w:r>
      <w:r>
        <w:t xml:space="preserve">stickier</w:t>
      </w:r>
      <w:r>
        <w:t xml:space="preserve">”</w:t>
      </w:r>
      <w:r>
        <w:t xml:space="preserve"> </w:t>
      </w:r>
      <w:r>
        <w:t xml:space="preserve">than forms of personal culture. If a person starts going to church or starts socializing with friends at a bar, she builds social networks that make this behavior more 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estimates for this item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pertains to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strongly consistent with Zaller’s</w:t>
      </w:r>
      <w:r>
        <w:t xml:space="preserve"> </w:t>
      </w:r>
      <w:r>
        <w:t xml:space="preserve">(1992)</w:t>
      </w:r>
      <w:r>
        <w:t xml:space="preserve"> </w:t>
      </w:r>
      <w:r>
        <w:t xml:space="preserve">argument that highly salient issues where elite opinion shifts can lead to large changes in public opinion.</w:t>
      </w:r>
    </w:p>
    <w:p>
      <w:pPr>
        <w:pStyle w:val="BodyText"/>
      </w:pPr>
      <w:r>
        <w:t xml:space="preserve">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pPr>
        <w:pStyle w:val="Heading2"/>
      </w:pPr>
      <w:bookmarkStart w:id="47" w:name="political-beliefs"/>
      <w:r>
        <w:t xml:space="preserve">Political Beliefs</w:t>
      </w:r>
      <w:bookmarkEnd w:id="47"/>
    </w:p>
    <w:p>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questions about political identity, the role of government, and specific policies. We break these items up into categories and remove a few items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9_files/figure-docx/polvariables-1.png" id="0" name="Picture"/>
                    <pic:cNvPicPr>
                      <a:picLocks noChangeArrowheads="1" noChangeAspect="1"/>
                    </pic:cNvPicPr>
                  </pic:nvPicPr>
                  <pic:blipFill>
                    <a:blip r:embed="rId4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pPr>
        <w:pStyle w:val="BodyText"/>
      </w:pPr>
      <w:r>
        <w:t xml:space="preserve">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w:t>
      </w:r>
      <w:r>
        <w:t xml:space="preserve"> </w:t>
      </w:r>
      <w:r>
        <w:t xml:space="preserve">(Schnabel and Sevell 2017)</w:t>
      </w:r>
      <w:r>
        <w:t xml:space="preserve">. Our findings suggest that, at least in recent years, many individuals have changed their views on gay marriage, but changing views on marijuana use have been driven primarily by cohort replacement.</w:t>
      </w:r>
    </w:p>
    <w:p>
      <w:pPr>
        <w:pStyle w:val="Heading1"/>
      </w:pPr>
      <w:bookmarkStart w:id="49" w:name="discussion-and-conclusions"/>
      <w:r>
        <w:t xml:space="preserve">Discussion and Conclusions</w:t>
      </w:r>
      <w:bookmarkEnd w:id="49"/>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change in the population is likely low. Adult Americans are highly consistent in their attitudes from year to year, and those who appear to change tend to bounce back to a stable baseline.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Items assumed to be</w:t>
      </w:r>
      <w:r>
        <w:t xml:space="preserve"> </w:t>
      </w:r>
      <w:r>
        <w:t xml:space="preserve">“</w:t>
      </w:r>
      <w:r>
        <w:t xml:space="preserve">peripheral</w:t>
      </w:r>
      <w:r>
        <w:t xml:space="preserve">”</w:t>
      </w:r>
      <w:r>
        <w:t xml:space="preserve"> </w:t>
      </w:r>
      <w:r>
        <w:t xml:space="preserve">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pPr>
        <w:pStyle w:val="BodyText"/>
      </w:pPr>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p>
      <w:pPr>
        <w:pStyle w:val="BodyText"/>
      </w:pPr>
      <w:r>
        <w:t xml:space="preserve">The overall pattern of results, while diverse and at times hard to reconcile, does shed light on several theoretical debates. We now consider these implications.</w:t>
      </w:r>
    </w:p>
    <w:p>
      <w:pPr>
        <w:pStyle w:val="Heading2"/>
      </w:pPr>
      <w:bookmarkStart w:id="50" w:name="implications-for-cultural-sociology"/>
      <w:r>
        <w:t xml:space="preserve">Implications for Cultural Sociology</w:t>
      </w:r>
      <w:bookmarkEnd w:id="50"/>
    </w:p>
    <w:p>
      <w:pPr>
        <w:pStyle w:val="FirstParagraph"/>
      </w:pPr>
      <w:r>
        <w:t xml:space="preserve">What are the broader implications of these findings, both for theories of cultural change and for empirical work in this area? 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for those items that did display strong evidence for active updating (e.g.</w:t>
      </w:r>
      <w:r>
        <w:t xml:space="preserve">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hard to predict wave after wave.</w:t>
      </w:r>
    </w:p>
    <w:p>
      <w:pPr>
        <w:pStyle w:val="BodyText"/>
      </w:pPr>
      <w:r>
        <w:t xml:space="preserve">The overall pattern of results suggests that one reason attitudes are largely stable is because most issues simply do not reach the kind of salience necessary to shift people’s opinions. In contrast to other beliefs, the pattern of findings for gay rights show that a high degree of public salience and social movements can accelerate change by encouraging people to update their views. By definition, salience is a limited resource, meaning only a few beliefs and 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This pattern suggests that the salience of an issue can matter at the individual level, as well as the societal level. Rather than supporting a single theory linking age to attitude change, our results call for more work linking attitude content to social factors and institutional norms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institutional and developmental factors that that give rise to stable or variable attitudes</w:t>
      </w:r>
      <w:r>
        <w:t xml:space="preserve"> </w:t>
      </w:r>
      <w:r>
        <w:t xml:space="preserve">(Howe and Krosnick 2017)</w:t>
      </w:r>
      <w:r>
        <w:t xml:space="preserve">. Recent work that has attempted to provide social explanations for (mostly political) attitude stability in middle age is an important step in that direction</w:t>
      </w:r>
      <w:r>
        <w:t xml:space="preserve"> </w:t>
      </w:r>
      <w:r>
        <w:t xml:space="preserve">(Eaton et al. 2009; Visser and Mirabile 2004)</w:t>
      </w:r>
      <w:r>
        <w:t xml:space="preserve">.</w:t>
      </w:r>
    </w:p>
    <w:p>
      <w:pPr>
        <w:pStyle w:val="Heading2"/>
      </w:pPr>
      <w:bookmarkStart w:id="51" w:name="implications-for-political-sociology"/>
      <w:r>
        <w:t xml:space="preserve">Implications for Political Sociology</w:t>
      </w:r>
      <w:bookmarkEnd w:id="51"/>
    </w:p>
    <w:p>
      <w:pPr>
        <w:pStyle w:val="FirstParagraph"/>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 to 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Similarly, our findings are not consistent with the idea that individuals adopt a partisan affiliation based on their social groupings and subsequently adjust their ideological commitments to conform to that</w:t>
      </w:r>
      <w:r>
        <w:t xml:space="preserve"> </w:t>
      </w:r>
      <w:r>
        <w:t xml:space="preserve">(Green, Palmquist, and Schickler 2002)</w:t>
      </w:r>
      <w:r>
        <w:t xml:space="preserve">. For this to be true, ideological identification and other political beliefs would have to demonstrate at least as much persistent change as partisan identification, which is simply not true in our data.</w:t>
      </w:r>
    </w:p>
    <w:p>
      <w:pPr>
        <w:pStyle w:val="BodyText"/>
      </w:pPr>
      <w:r>
        <w:t xml:space="preserve">The finding that ideological identification is comparatively stable should not be taken to imply that most people in the population have the kind of tightly knit belief structures that political scientists typically call</w:t>
      </w:r>
      <w:r>
        <w:t xml:space="preserve"> </w:t>
      </w:r>
      <w:r>
        <w:t xml:space="preserve">“</w:t>
      </w:r>
      <w:r>
        <w:t xml:space="preserve">ideologies.</w:t>
      </w:r>
      <w:r>
        <w:t xml:space="preserve">”</w:t>
      </w:r>
      <w:r>
        <w:t xml:space="preserve"> </w:t>
      </w:r>
      <w:r>
        <w:t xml:space="preserve">Outside of a handful of high-profile political items such as partisan identity, abortion, and gay marriage, individuals appear to lack strong, clear opinions on most specific policy questions. The low degree of consistency in beliefs is consistent with the idea that people are</w:t>
      </w:r>
      <w:r>
        <w:t xml:space="preserve"> </w:t>
      </w:r>
      <w:r>
        <w:t xml:space="preserve">“</w:t>
      </w:r>
      <w:r>
        <w:t xml:space="preserve">ideologically innocent</w:t>
      </w:r>
      <w:r>
        <w:t xml:space="preserve">”</w:t>
      </w:r>
      <w:r>
        <w:t xml:space="preserve"> </w:t>
      </w:r>
      <w:r>
        <w:t xml:space="preserve">(Kinder and Kalmoe 2017)</w:t>
      </w:r>
      <w:r>
        <w:t xml:space="preserve">. What we can say is that individuals over 30 in American during the period we studied did not make lasting changes in whether and how strongly they thought of themselves as</w:t>
      </w:r>
      <w:r>
        <w:t xml:space="preserve"> </w:t>
      </w:r>
      <w:r>
        <w:t xml:space="preserve">“</w:t>
      </w:r>
      <w:r>
        <w:t xml:space="preserve">liberal</w:t>
      </w:r>
      <w:r>
        <w:t xml:space="preserve">”</w:t>
      </w:r>
      <w:r>
        <w:t xml:space="preserve"> </w:t>
      </w:r>
      <w:r>
        <w:t xml:space="preserve">or</w:t>
      </w:r>
      <w:r>
        <w:t xml:space="preserve"> </w:t>
      </w:r>
      <w:r>
        <w:t xml:space="preserve">“</w:t>
      </w:r>
      <w:r>
        <w:t xml:space="preserve">conservative.</w:t>
      </w:r>
      <w:r>
        <w:t xml:space="preserve">”</w:t>
      </w:r>
    </w:p>
    <w:p>
      <w:pPr>
        <w:pStyle w:val="BodyText"/>
      </w:pPr>
      <w:r>
        <w:t xml:space="preserve">That said, respondents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2" w:name="methodological-implications"/>
      <w:r>
        <w:t xml:space="preserve">Methodological Implications</w:t>
      </w:r>
      <w:bookmarkEnd w:id="52"/>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pPr>
        <w:pStyle w:val="BodyText"/>
      </w:pPr>
      <w:r>
        <w:t xml:space="preserve">We believe the overall pattern of results we observe is more consistent with other theoretical models of belief change than those outlined by panel conditioning. We see too much inconsistency in responses to most questions for models of commitment bias to be a major explanatory factor. Items that we have theoretical reasons to suspect might succumb to the updating form of panel conditioning bias, such as questions where</w:t>
      </w:r>
      <w:r>
        <w:t xml:space="preserve"> </w:t>
      </w:r>
      <w:r>
        <w:t xml:space="preserve">“</w:t>
      </w:r>
      <w:r>
        <w:t xml:space="preserve">respondents’ initial attitudes are less crystallized</w:t>
      </w:r>
      <w:r>
        <w:t xml:space="preserve">”</w:t>
      </w:r>
      <w:r>
        <w:t xml:space="preserve"> </w:t>
      </w:r>
      <w:r>
        <w:t xml:space="preserve">(Warren and Halpern-Manners 2012: p. 499)</w:t>
      </w:r>
      <w:r>
        <w:t xml:space="preserve">, questions that</w:t>
      </w:r>
      <w:r>
        <w:t xml:space="preserve"> </w:t>
      </w:r>
      <w:r>
        <w:t xml:space="preserve">“</w:t>
      </w:r>
      <w:r>
        <w:t xml:space="preserve">increase respondents’ knowledge of the behavior and/or their motivation to engage in it</w:t>
      </w:r>
      <w:r>
        <w:t xml:space="preserve">”</w:t>
      </w:r>
      <w:r>
        <w:t xml:space="preserve"> </w:t>
      </w:r>
      <w:r>
        <w:t xml:space="preserve">(Warren and Halpern-Manners 2012: p. 500)</w:t>
      </w:r>
      <w:r>
        <w:t xml:space="preserve">, or questions that</w:t>
      </w:r>
      <w:r>
        <w:t xml:space="preserve"> </w:t>
      </w:r>
      <w:r>
        <w:t xml:space="preserve">“</w:t>
      </w:r>
      <w:r>
        <w:t xml:space="preserve">induce respondents to provide socially non-normative or stigmatized responses</w:t>
      </w:r>
      <w:r>
        <w:t xml:space="preserve">”</w:t>
      </w:r>
      <w:r>
        <w:t xml:space="preserve"> </w:t>
      </w:r>
      <w:r>
        <w:t xml:space="preserve">(Warren and Halpern-Manners 2012: p. 501)</w:t>
      </w:r>
      <w:r>
        <w:t xml:space="preserve">, tend to show low active updating and low consistency.</w:t>
      </w:r>
    </w:p>
    <w:p>
      <w:pPr>
        <w:pStyle w:val="BodyText"/>
      </w:pPr>
      <w:r>
        <w:t xml:space="preserve">We cannot (and would not want to) rule out the possibility that panel conditioning is taking place in the GSS. We believe it is worthwhile to explore these same GSS panels for evidence of panel conditioning. However, we do not believe that panel conditioning bias is the principal driver of the overall pattern of change and consistency we observe.</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3" w:name="appendix-a-phi-values-for-all-variables"/>
      <w:r>
        <w:t xml:space="preserve">Appendix A:</w:t>
      </w:r>
      <w:r>
        <w:t xml:space="preserve"> </w:t>
      </w:r>
      <m:oMath>
        <m:r>
          <m:t>ϕ</m:t>
        </m:r>
      </m:oMath>
      <w:r>
        <w:t xml:space="preserve"> </w:t>
      </w:r>
      <w:r>
        <w:t xml:space="preserve">values for all variables</w:t>
      </w:r>
      <w:bookmarkEnd w:id="53"/>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9_files/figure-docx/religphi-1.png" id="0" name="Picture"/>
                    <pic:cNvPicPr>
                      <a:picLocks noChangeArrowheads="1" noChangeAspect="1"/>
                    </pic:cNvPicPr>
                  </pic:nvPicPr>
                  <pic:blipFill>
                    <a:blip r:embed="rId5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9_files/figure-docx/poliphi-1.png" id="0" name="Picture"/>
                    <pic:cNvPicPr>
                      <a:picLocks noChangeArrowheads="1" noChangeAspect="1"/>
                    </pic:cNvPicPr>
                  </pic:nvPicPr>
                  <pic:blipFill>
                    <a:blip r:embed="rId5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9_files/figure-docx/civlibphi-1.png" id="0" name="Picture"/>
                    <pic:cNvPicPr>
                      <a:picLocks noChangeArrowheads="1" noChangeAspect="1"/>
                    </pic:cNvPicPr>
                  </pic:nvPicPr>
                  <pic:blipFill>
                    <a:blip r:embed="rId56"/>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9_files/figure-docx/racgenphi-1.png" id="0" name="Picture"/>
                    <pic:cNvPicPr>
                      <a:picLocks noChangeArrowheads="1" noChangeAspect="1"/>
                    </pic:cNvPicPr>
                  </pic:nvPicPr>
                  <pic:blipFill>
                    <a:blip r:embed="rId5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58" w:name="appendix-b-coarsened-variable-estimates"/>
      <w:r>
        <w:t xml:space="preserve">Appendix B: Coarsened variable estimates</w:t>
      </w:r>
      <w:bookmarkEnd w:id="58"/>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9_files/figure-docx/coarserelig-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9_files/figure-docx/coarsepol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9_files/figure-docx/coarseracgen-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2" w:name="references"/>
      <w:r>
        <w:t xml:space="preserve">References</w:t>
      </w:r>
      <w:bookmarkEnd w:id="62"/>
    </w:p>
    <w:bookmarkStart w:id="112" w:name="refs"/>
    <w:bookmarkStart w:id="63" w:name="ref-abramowitzsaunders06"/>
    <w:p>
      <w:pPr>
        <w:pStyle w:val="Bibliography"/>
      </w:pPr>
      <w:r>
        <w:t xml:space="preserve">Abramowitz, Alan I., and Kyle L. Saunders. 2006. “Exploring the Bases of Partisanship in the American Electorate: Social Identity Vs. Ideology.”</w:t>
      </w:r>
      <w:r>
        <w:t xml:space="preserve"> </w:t>
      </w:r>
      <w:r>
        <w:rPr>
          <w:i/>
        </w:rPr>
        <w:t xml:space="preserve">Political Research Quarterly</w:t>
      </w:r>
      <w:r>
        <w:t xml:space="preserve"> </w:t>
      </w:r>
      <w:r>
        <w:t xml:space="preserve">59 (2): 175–87.</w:t>
      </w:r>
    </w:p>
    <w:bookmarkEnd w:id="63"/>
    <w:bookmarkStart w:id="64"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4"/>
    <w:bookmarkStart w:id="65"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5"/>
    <w:bookmarkStart w:id="66"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6"/>
    <w:bookmarkStart w:id="67" w:name="ref-ansolabehereetal"/>
    <w:p>
      <w:pPr>
        <w:pStyle w:val="Bibliography"/>
      </w:pPr>
      <w:r>
        <w:t xml:space="preserve">Ansolabehere, Stephen, Jonathan Rodden, and James M. Snyder Jr. 2008. “The Strength of Issues: Using Multiple Measures to Gauge Preferennce Stability, Ideological Constraint, and Issue Voting.”</w:t>
      </w:r>
      <w:r>
        <w:t xml:space="preserve"> </w:t>
      </w:r>
      <w:r>
        <w:rPr>
          <w:i/>
        </w:rPr>
        <w:t xml:space="preserve">American Political Science Review</w:t>
      </w:r>
      <w:r>
        <w:t xml:space="preserve"> </w:t>
      </w:r>
      <w:r>
        <w:t xml:space="preserve">102 (2): 215–32.</w:t>
      </w:r>
    </w:p>
    <w:bookmarkEnd w:id="67"/>
    <w:bookmarkStart w:id="68" w:name="ref-bailetal"/>
    <w:p>
      <w:pPr>
        <w:pStyle w:val="Bibliography"/>
      </w:pPr>
      <w:r>
        <w:t xml:space="preserve">Bail, Christopher A., Lisa P. Argyle, Taylor W. Brown, John P. Bumpus, Haohan Chen, M. B. Fallin Hunzaker, Jaemin Lee, Marcus Mann, Friedolin Merhout, and Alexander Volfovsky. 2018. “Exposure to Opposing Views on Social Media Can Increase Political Polarization.”</w:t>
      </w:r>
      <w:r>
        <w:t xml:space="preserve"> </w:t>
      </w:r>
      <w:r>
        <w:rPr>
          <w:i/>
        </w:rPr>
        <w:t xml:space="preserve">Proceedings of the National Academy of Sciences</w:t>
      </w:r>
      <w:r>
        <w:t xml:space="preserve"> </w:t>
      </w:r>
      <w:r>
        <w:t xml:space="preserve">115 (37): 9216–21.</w:t>
      </w:r>
    </w:p>
    <w:bookmarkEnd w:id="68"/>
    <w:bookmarkStart w:id="69"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69"/>
    <w:bookmarkStart w:id="70"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0"/>
    <w:bookmarkStart w:id="71"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1"/>
    <w:bookmarkStart w:id="72" w:name="ref-bourdieulogic"/>
    <w:p>
      <w:pPr>
        <w:pStyle w:val="Bibliography"/>
      </w:pPr>
      <w:r>
        <w:t xml:space="preserve">———. 1990.</w:t>
      </w:r>
      <w:r>
        <w:t xml:space="preserve"> </w:t>
      </w:r>
      <w:r>
        <w:rPr>
          <w:i/>
        </w:rPr>
        <w:t xml:space="preserve">The Logic of Practice</w:t>
      </w:r>
      <w:r>
        <w:t xml:space="preserve">. Stanford, California: Stanford University Press.</w:t>
      </w:r>
    </w:p>
    <w:bookmarkEnd w:id="72"/>
    <w:bookmarkStart w:id="73"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3"/>
    <w:bookmarkStart w:id="74" w:name="ref-centola"/>
    <w:p>
      <w:pPr>
        <w:pStyle w:val="Bibliography"/>
      </w:pPr>
      <w:r>
        <w:t xml:space="preserve">Centola, Damon. 2018.</w:t>
      </w:r>
      <w:r>
        <w:t xml:space="preserve"> </w:t>
      </w:r>
      <w:r>
        <w:rPr>
          <w:i/>
        </w:rPr>
        <w:t xml:space="preserve">How Behavior Spreads: The Science of Complex Contagion</w:t>
      </w:r>
      <w:r>
        <w:t xml:space="preserve">. Princeton, New Jersey: Princeton University Press.</w:t>
      </w:r>
    </w:p>
    <w:bookmarkEnd w:id="74"/>
    <w:bookmarkStart w:id="75" w:name="ref-christakisfowler"/>
    <w:p>
      <w:pPr>
        <w:pStyle w:val="Bibliography"/>
      </w:pPr>
      <w:r>
        <w:t xml:space="preserve">Christakis, Nicholas A., and James H. Fowler. 2009.</w:t>
      </w:r>
      <w:r>
        <w:t xml:space="preserve"> </w:t>
      </w:r>
      <w:r>
        <w:rPr>
          <w:i/>
        </w:rPr>
        <w:t xml:space="preserve">Connected: The Surprising Power of Our Social Networks and How They Shape Our Lives</w:t>
      </w:r>
      <w:r>
        <w:t xml:space="preserve">. New York: Little, Brown; Company.</w:t>
      </w:r>
    </w:p>
    <w:bookmarkEnd w:id="75"/>
    <w:bookmarkStart w:id="76"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6"/>
    <w:bookmarkStart w:id="77"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7"/>
    <w:bookmarkStart w:id="78"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8"/>
    <w:bookmarkStart w:id="79"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9"/>
    <w:bookmarkStart w:id="80" w:name="ref-dellapostashimacy"/>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1473–1511.</w:t>
      </w:r>
    </w:p>
    <w:bookmarkEnd w:id="80"/>
    <w:bookmarkStart w:id="81" w:name="ref-dimaggio_polarization"/>
    <w:p>
      <w:pPr>
        <w:pStyle w:val="Bibliography"/>
      </w:pPr>
      <w:r>
        <w:t xml:space="preserve">DiMaggio, Paul, John Evans, and Bethany Bryson. 1996. “Have American’s Social Attitudes Become More Polarized.”</w:t>
      </w:r>
      <w:r>
        <w:t xml:space="preserve"> </w:t>
      </w:r>
      <w:r>
        <w:rPr>
          <w:i/>
        </w:rPr>
        <w:t xml:space="preserve">American Journal of Sociology</w:t>
      </w:r>
      <w:r>
        <w:t xml:space="preserve"> </w:t>
      </w:r>
      <w:r>
        <w:t xml:space="preserve">102: 690–755.</w:t>
      </w:r>
    </w:p>
    <w:bookmarkEnd w:id="81"/>
    <w:bookmarkStart w:id="82"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82"/>
    <w:bookmarkStart w:id="83"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3"/>
    <w:bookmarkStart w:id="84"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4"/>
    <w:bookmarkStart w:id="85"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5"/>
    <w:bookmarkStart w:id="86" w:name="ref-greenetal"/>
    <w:p>
      <w:pPr>
        <w:pStyle w:val="Bibliography"/>
      </w:pPr>
      <w:r>
        <w:t xml:space="preserve">Green, Donald, Bradley Palmquist, and Eric Schickler. 2002.</w:t>
      </w:r>
      <w:r>
        <w:t xml:space="preserve"> </w:t>
      </w:r>
      <w:r>
        <w:rPr>
          <w:i/>
        </w:rPr>
        <w:t xml:space="preserve">Partisan Hearts and Minds: Political Parties and the Social Identities of Voters</w:t>
      </w:r>
      <w:r>
        <w:t xml:space="preserve">. New Haven, CT: Yale University Press.</w:t>
      </w:r>
    </w:p>
    <w:bookmarkEnd w:id="86"/>
    <w:bookmarkStart w:id="87"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7"/>
    <w:bookmarkStart w:id="88" w:name="ref-heise"/>
    <w:p>
      <w:pPr>
        <w:pStyle w:val="Bibliography"/>
      </w:pPr>
      <w:r>
        <w:t xml:space="preserve">Heise, David R. 1969. “Separating Reliability and Stability in Test-Retest Correlation.”</w:t>
      </w:r>
      <w:r>
        <w:t xml:space="preserve"> </w:t>
      </w:r>
      <w:r>
        <w:rPr>
          <w:i/>
        </w:rPr>
        <w:t xml:space="preserve">American Sociological Review</w:t>
      </w:r>
      <w:r>
        <w:t xml:space="preserve"> </w:t>
      </w:r>
      <w:r>
        <w:t xml:space="preserve">34: 93–191.</w:t>
      </w:r>
    </w:p>
    <w:bookmarkEnd w:id="88"/>
    <w:bookmarkStart w:id="89"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9"/>
    <w:bookmarkStart w:id="90"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90"/>
    <w:bookmarkStart w:id="91"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91"/>
    <w:bookmarkStart w:id="92" w:name="ref-iyengarwestwood"/>
    <w:p>
      <w:pPr>
        <w:pStyle w:val="Bibliography"/>
      </w:pPr>
      <w:r>
        <w:t xml:space="preserve">Iyengar, Shanto, and Sean J. Westwood. 2015. “Fear and Loathing Across Party Lines: New Evidence on Group Polarization.”</w:t>
      </w:r>
      <w:r>
        <w:t xml:space="preserve"> </w:t>
      </w:r>
      <w:r>
        <w:rPr>
          <w:i/>
        </w:rPr>
        <w:t xml:space="preserve">American Journal of Political Science</w:t>
      </w:r>
      <w:r>
        <w:t xml:space="preserve"> </w:t>
      </w:r>
      <w:r>
        <w:t xml:space="preserve">59 (3): 690–707.</w:t>
      </w:r>
    </w:p>
    <w:bookmarkEnd w:id="92"/>
    <w:bookmarkStart w:id="93" w:name="ref-kinderkalmoe"/>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93"/>
    <w:bookmarkStart w:id="94"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94"/>
    <w:bookmarkStart w:id="95"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95"/>
    <w:bookmarkStart w:id="96"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96"/>
    <w:bookmarkStart w:id="97"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7"/>
    <w:bookmarkStart w:id="98"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8"/>
    <w:bookmarkStart w:id="99" w:name="ref-ohetal"/>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p>
    <w:bookmarkEnd w:id="99"/>
    <w:bookmarkStart w:id="100"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100"/>
    <w:bookmarkStart w:id="101"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101"/>
    <w:bookmarkStart w:id="102" w:name="ref-robinson2007"/>
    <w:p>
      <w:pPr>
        <w:pStyle w:val="Bibliography"/>
      </w:pPr>
      <w:r>
        <w:t xml:space="preserve">Robinson, Dawn T. 2007. “Control Theories in Sociology.”</w:t>
      </w:r>
      <w:r>
        <w:t xml:space="preserve"> </w:t>
      </w:r>
      <w:r>
        <w:rPr>
          <w:i/>
        </w:rPr>
        <w:t xml:space="preserve">Annual Review of Sociology</w:t>
      </w:r>
      <w:r>
        <w:t xml:space="preserve"> </w:t>
      </w:r>
      <w:r>
        <w:t xml:space="preserve">33: 157–74.</w:t>
      </w:r>
    </w:p>
    <w:bookmarkEnd w:id="102"/>
    <w:bookmarkStart w:id="103"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103"/>
    <w:bookmarkStart w:id="104" w:name="ref-schnabelsevell"/>
    <w:p>
      <w:pPr>
        <w:pStyle w:val="Bibliography"/>
      </w:pPr>
      <w:r>
        <w:t xml:space="preserve">Schnabel, Landon, and Eric Sevell. 2017. “Should Mary and Jane Be Legal? Americans’ Attitudes Toward Marijuana and Same-Sex Marriage.”</w:t>
      </w:r>
      <w:r>
        <w:t xml:space="preserve"> </w:t>
      </w:r>
      <w:r>
        <w:rPr>
          <w:i/>
        </w:rPr>
        <w:t xml:space="preserve">Public Opinion Quarterly</w:t>
      </w:r>
      <w:r>
        <w:t xml:space="preserve"> </w:t>
      </w:r>
      <w:r>
        <w:t xml:space="preserve">81 (1): 157–72.</w:t>
      </w:r>
    </w:p>
    <w:bookmarkEnd w:id="104"/>
    <w:bookmarkStart w:id="10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105"/>
    <w:bookmarkStart w:id="106" w:name="ref-smithlovinheise"/>
    <w:p>
      <w:pPr>
        <w:pStyle w:val="Bibliography"/>
      </w:pPr>
      <w:r>
        <w:t xml:space="preserve">Smith-Lovin, Lynn, and David R. Heise. 1988.</w:t>
      </w:r>
      <w:r>
        <w:t xml:space="preserve"> </w:t>
      </w:r>
      <w:r>
        <w:rPr>
          <w:i/>
        </w:rPr>
        <w:t xml:space="preserve">Analyzing Social Interaction: Advances in Affect Control Theory</w:t>
      </w:r>
      <w:r>
        <w:t xml:space="preserve">. New York: Gordon; Breach Science Publishers.</w:t>
      </w:r>
    </w:p>
    <w:bookmarkEnd w:id="106"/>
    <w:bookmarkStart w:id="107"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107"/>
    <w:bookmarkStart w:id="108"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108"/>
    <w:bookmarkStart w:id="109"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109"/>
    <w:bookmarkStart w:id="110"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10"/>
    <w:bookmarkStart w:id="111"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11"/>
    <w:bookmarkEnd w:id="112"/>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46">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dcterms:created xsi:type="dcterms:W3CDTF">2019-12-09T02:19:20Z</dcterms:created>
  <dcterms:modified xsi:type="dcterms:W3CDTF">2019-12-09T02:19:20Z</dcterms:modified>
</cp:coreProperties>
</file>