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AC9" w:rsidRDefault="00AD52EE">
      <w:pPr>
        <w:pStyle w:val="Heading1"/>
      </w:pPr>
      <w:bookmarkStart w:id="0" w:name="introduction"/>
      <w:r>
        <w:t>Introduction</w:t>
      </w:r>
      <w:bookmarkEnd w:id="0"/>
    </w:p>
    <w:p w:rsidR="00AD5AC9" w:rsidRDefault="00AD52EE">
      <w:pPr>
        <w:pStyle w:val="FirstParagraph"/>
      </w:pPr>
      <w:r>
        <w:t>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rsidR="00AD5AC9" w:rsidRDefault="00AD52EE">
      <w:pPr>
        <w:pStyle w:val="BodyText"/>
      </w:pPr>
      <w:r>
        <w:t>Attempts to account for opinion changes in society have produced conflicting theories about the nature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 (Zaller 1992; Converse 1964; Perrin and McFarland 2011). By contrast, cohort replacement theories posit that people do hold opinions, are unwilling to alter them in the face of societal change, and thus public opinion changes only with generational turnover (Mannheim 1952; Ryder 1965). Another set of models claim that people hold “a number of real, stable, and sensible opinions about public policy” and change their opinions in response to new information (Page and Shapiro 1992: p. xi; Achen 1992). More recently, sociologists have suggested that people attempt to align malleable peripheral beliefs with relatively fixed “core” beliefs using social cues (Boutyline and Vaisey 2017; Lakoff 2002; Goldberg and Stein 2018).</w:t>
      </w:r>
    </w:p>
    <w:p w:rsidR="00AD5AC9" w:rsidRDefault="00AD52EE">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 </w:t>
      </w:r>
      <w:r>
        <w:rPr>
          <w:i/>
        </w:rPr>
        <w:t>active updating</w:t>
      </w:r>
      <w:r>
        <w:t xml:space="preserve"> model that emphasizes the role of changing discourses, environments, and interactions on attitude formation. This model is rooted in a broadly pragmatist approach to action, which claims that contemporary social </w:t>
      </w:r>
      <w:r>
        <w:lastRenderedPageBreak/>
        <w:t xml:space="preserve">environments and problems provoke people to adapt their views and make new meaning (e.g., Joas 1996, Gross 2009, Swidler 2001). The second is a </w:t>
      </w:r>
      <w:r>
        <w:rPr>
          <w:i/>
        </w:rPr>
        <w:t>settled dispositions</w:t>
      </w:r>
      <w:r>
        <w:t xml:space="preserve"> model, which emphasizes the continuing influence of durable dispositions acquired early in life. This model has affinities with the Bourdieusian tradition, which de-emphasizes (though does not ignore) the current environment in favor of the “past conditions of production” (e.g., Bourdieu 1990, Vaisey and Lizardo 2016). These two models represent different approaches to understanding how people come to hold different forms of </w:t>
      </w:r>
      <w:r>
        <w:rPr>
          <w:i/>
        </w:rPr>
        <w:t>personal culture</w:t>
      </w:r>
      <w:r>
        <w:t>, or the declarative and non-delcarative attitudes, worldviews, values, dispositions, and associations that manifest at the individual level (Lizardo 2017).</w:t>
      </w:r>
    </w:p>
    <w:p w:rsidR="00AD5AC9" w:rsidRDefault="00AD52EE">
      <w:pPr>
        <w:pStyle w:val="BodyText"/>
      </w:pPr>
      <w:r>
        <w:t>In this paper, we make these two models of personal culture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184 items from the 2006-2014 General Social Surveys (GSS). By classifying the pattern of change in personal culture,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rsidR="00AD5AC9" w:rsidRDefault="00AD52EE">
      <w:pPr>
        <w:pStyle w:val="BodyText"/>
      </w:pPr>
      <w:r>
        <w:lastRenderedPageBreak/>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are changing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 “real” attitudes than these theories suggest. Third, the persistent change that we </w:t>
      </w:r>
      <w:r>
        <w:rPr>
          <w:i/>
        </w:rPr>
        <w:t>do</w:t>
      </w:r>
      <w:r>
        <w:t xml:space="preserve"> 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people are more likely to report these attitudes consistently. This suggests that interactional and institutional mechanisms may provide stronger support for lasting change than pressures for intrapsychic consistency.</w:t>
      </w:r>
    </w:p>
    <w:p w:rsidR="00AD5AC9" w:rsidRDefault="00AD52EE">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w:t>
      </w:r>
      <w:r>
        <w:lastRenderedPageBreak/>
        <w:t>specific policy positions. We argue that there is a place for both the active updating and settled dispositions models in our theory of cultural evolution but that we need more research on the circumstances under which each is more likely to apply.</w:t>
      </w:r>
    </w:p>
    <w:p w:rsidR="00AD5AC9" w:rsidRDefault="00AD52EE">
      <w:pPr>
        <w:pStyle w:val="Heading1"/>
      </w:pPr>
      <w:bookmarkStart w:id="1" w:name="theoretical-background"/>
      <w:r>
        <w:t>Theoretical Background</w:t>
      </w:r>
      <w:bookmarkEnd w:id="1"/>
    </w:p>
    <w:p w:rsidR="00AD5AC9" w:rsidRDefault="00AD52EE">
      <w:pPr>
        <w:pStyle w:val="Heading2"/>
      </w:pPr>
      <w:bookmarkStart w:id="2" w:name="belief-formation-in-cultural-sociology"/>
      <w:r>
        <w:t>Belief Formation in Cultural Sociology</w:t>
      </w:r>
      <w:bookmarkEnd w:id="2"/>
    </w:p>
    <w:p w:rsidR="00AD5AC9" w:rsidRDefault="00AD52EE">
      <w:pPr>
        <w:pStyle w:val="FirstParagraph"/>
      </w:pPr>
      <w:r>
        <w:t>How does cultural change happen at the individual level? Let us make the question concrete by imagining a person who answers the same question each year for several years. The question could be anything, but assume it is this GSS question: “Please tell me whether you strongly agree, agree, disagree, or strongly disagree [with this statement]: ‘a working mother can establish just as warm and secure a relationship with her children as a mother who does not work.’”</w:t>
      </w:r>
    </w:p>
    <w:p w:rsidR="00AD5AC9" w:rsidRDefault="00AD52EE">
      <w:pPr>
        <w:pStyle w:val="BodyText"/>
      </w:pPr>
      <w:r>
        <w:t>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rsidR="00AD5AC9" w:rsidRDefault="005B5FD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  (1)</m:t>
          </m:r>
        </m:oMath>
      </m:oMathPara>
    </w:p>
    <w:p w:rsidR="00AD5AC9" w:rsidRDefault="005B5FDD">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  (2)</m:t>
          </m:r>
        </m:oMath>
      </m:oMathPara>
    </w:p>
    <w:p w:rsidR="00AD5AC9" w:rsidRDefault="00AD52EE">
      <w:pPr>
        <w:pStyle w:val="FirstParagraph"/>
      </w:pPr>
      <w:r>
        <w:t xml:space="preserve">These models may seem similar at first glance, but they have different implications for the pattern of individuals’ responses we would observe over time. Equation (1) represents an </w:t>
      </w:r>
      <w:r>
        <w:rPr>
          <w:i/>
        </w:rPr>
        <w:t>active updating</w:t>
      </w:r>
      <w:r>
        <w:t xml:space="preserve"> model and Equation (2) represents a </w:t>
      </w:r>
      <w:r>
        <w:rPr>
          <w:i/>
        </w:rPr>
        <w:t>settled dispositions</w:t>
      </w:r>
      <w:r>
        <w:t xml:space="preserve"> model, as we explain below. Figure 1 shows these models in graphical form, which helps highlight their differences. In </w:t>
      </w:r>
      <w:r>
        <w:lastRenderedPageBreak/>
        <w:t>the next two sections, we consider each of these models and briefly discuss their connections to sociological theories.</w:t>
      </w:r>
    </w:p>
    <w:p w:rsidR="00070DDA" w:rsidRPr="00070DDA" w:rsidRDefault="00070DDA" w:rsidP="00070DDA">
      <w:pPr>
        <w:pStyle w:val="BodyText"/>
        <w:ind w:firstLine="0"/>
        <w:jc w:val="center"/>
        <w:rPr>
          <w:i/>
          <w:iCs/>
        </w:rPr>
      </w:pPr>
      <w:r>
        <w:rPr>
          <w:i/>
          <w:iCs/>
        </w:rPr>
        <w:t>[Figure 1 goes here]</w:t>
      </w:r>
    </w:p>
    <w:p w:rsidR="00AD5AC9" w:rsidRDefault="00AD52EE">
      <w:pPr>
        <w:pStyle w:val="Heading2"/>
      </w:pPr>
      <w:bookmarkStart w:id="3" w:name="active-updating-model"/>
      <w:r>
        <w:t>Active Updating Model</w:t>
      </w:r>
      <w:bookmarkEnd w:id="3"/>
    </w:p>
    <w:p w:rsidR="00AD5AC9" w:rsidRDefault="00AD52EE">
      <w:pPr>
        <w:pStyle w:val="FirstParagraph"/>
      </w:pPr>
      <w:r>
        <w:t>Equation (1) represents the active updating model. The respondent forms her answer by starting with what she said last time (</w:t>
      </w:r>
      <m:oMath>
        <m:sSub>
          <m:sSubPr>
            <m:ctrlPr>
              <w:rPr>
                <w:rFonts w:ascii="Cambria Math" w:hAnsi="Cambria Math"/>
              </w:rPr>
            </m:ctrlPr>
          </m:sSubPr>
          <m:e>
            <m:r>
              <w:rPr>
                <w:rFonts w:ascii="Cambria Math" w:hAnsi="Cambria Math"/>
              </w:rPr>
              <m:t>y</m:t>
            </m:r>
          </m:e>
          <m:sub>
            <m:r>
              <w:rPr>
                <w:rFonts w:ascii="Cambria Math" w:hAnsi="Cambria Math"/>
              </w:rPr>
              <m:t>it-1</m:t>
            </m:r>
          </m:sub>
        </m:sSub>
      </m:oMath>
      <w:r>
        <w:t>) and then incorporating any new considerations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There is no need to remember responses from earlier time points (e.g., </w:t>
      </w:r>
      <m:oMath>
        <m:sSub>
          <m:sSubPr>
            <m:ctrlPr>
              <w:rPr>
                <w:rFonts w:ascii="Cambria Math" w:hAnsi="Cambria Math"/>
              </w:rPr>
            </m:ctrlPr>
          </m:sSubPr>
          <m:e>
            <m:r>
              <w:rPr>
                <w:rFonts w:ascii="Cambria Math" w:hAnsi="Cambria Math"/>
              </w:rPr>
              <m:t>y</m:t>
            </m:r>
          </m:e>
          <m:sub>
            <m:r>
              <w:rPr>
                <w:rFonts w:ascii="Cambria Math" w:hAnsi="Cambria Math"/>
              </w:rPr>
              <m:t>it-2</m:t>
            </m:r>
          </m:sub>
        </m:sSub>
      </m:oMath>
      <w:r>
        <w:t>)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 (Alwin 2007; Krosnick and Alwin 1989). In this framework, we use the term “updating” to refer to the change to a new baseline for whatever reason, not necessarily requiring the incorporation of new or better information.</w:t>
      </w:r>
    </w:p>
    <w:p w:rsidR="00AD5AC9" w:rsidRDefault="00AD52EE">
      <w:pPr>
        <w:pStyle w:val="BodyText"/>
      </w:pPr>
      <w:r>
        <w:t>More informally, this AUM posits an agent that is updating her views in the face of social experience. There are formal Bayesian ways of modeling updating, and this model underlies numerous theories of rational updating in the face of new information (Achen 1992; Bartels and Jackman 2014; Page and Shapiro 1992), but we need not rely on any assumptions of rationality, optimality, or conscious thought for this basic process to apply. Following Gross’s (2009, 367) pragmatist account, we could instead regard this model as consistent with an “active and creative relation to the world” that “lead[s] actors to see themselves in new ways, to value different kinds of goods, and to become attached to problem solutions that they could not have imagined previously.”</w:t>
      </w:r>
    </w:p>
    <w:p w:rsidR="00AD5AC9" w:rsidRDefault="00AD52EE">
      <w:pPr>
        <w:pStyle w:val="BodyText"/>
      </w:pPr>
      <w:r>
        <w:lastRenderedPageBreak/>
        <w:t>The concept of active updating lies at the heart of most theories that suggest social environments influence individual attitudes and behaviors. When sociologists posit that adults adopt the beliefs and behaviors of their friends (Christakis and Fowler 2009; Centola 2018; DellaPosta, Shi, and Macy 2015), or that individuals adopt behaviors that they view as consistent with their cultural dispositions (Goldberg and Stein 2018), they invoke this model. When social scientists argue that people adapt their partisan affiliations to conform to their social groupings, change their ideological commitments to conform to their partisan identifications (Green, Palmquist, and Schickler 2002), change their partisan affiliations to match their ideological commitments (Baldassarri and Gelman 2008; Abramowitz and Saunders 2006), or respond to exposure to diverse opinions by becoming more extreme in their viewpoints (Bail et al. 2018), the claim is rarely that these changes are temporary shocks that will revert to a stable baseline over time. Instead, the claim is that the changing social environment changes dispositions, which will then remain stable until the environment changes again.</w:t>
      </w:r>
    </w:p>
    <w:p w:rsidR="00AD5AC9" w:rsidRDefault="00AD52EE">
      <w:pPr>
        <w:pStyle w:val="BodyText"/>
      </w:pPr>
      <w:r>
        <w:t>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 (Gross 2009; DeGloma 2014). As the person encounters new considerations throughout her life (e.g., adding working mothers to one’s social network, seeing changing media representations of working mothers), she can continue to revise her views.</w:t>
      </w:r>
    </w:p>
    <w:p w:rsidR="00AD5AC9" w:rsidRDefault="00AD52EE">
      <w:pPr>
        <w:pStyle w:val="BodyText"/>
      </w:pPr>
      <w:r>
        <w:t xml:space="preserve">The AUM makes no assumption about the distribution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Specifically, it does not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either for any time </w:t>
      </w:r>
      <m:oMath>
        <m:r>
          <w:rPr>
            <w:rFonts w:ascii="Cambria Math" w:hAnsi="Cambria Math"/>
          </w:rPr>
          <m:t>t</m:t>
        </m:r>
      </m:oMath>
      <w:r>
        <w:t xml:space="preserve"> or for any person </w:t>
      </w:r>
      <m:oMath>
        <m:r>
          <w:rPr>
            <w:rFonts w:ascii="Cambria Math" w:hAnsi="Cambria Math"/>
          </w:rPr>
          <m:t>i</m:t>
        </m:r>
      </m:oMath>
      <w:r>
        <w:t>. This leaves open the possibility of a population-wide shift in responses as many people react to the same changes in the environment.</w:t>
      </w:r>
    </w:p>
    <w:p w:rsidR="00AD5AC9" w:rsidRDefault="00AD52EE">
      <w:pPr>
        <w:pStyle w:val="BodyText"/>
      </w:pPr>
      <w:r>
        <w:lastRenderedPageBreak/>
        <w:t>A number of theories of cultural change at the societal level require evidence of active updating at the individual level, such as arguments that the population is becoming more polarized on political issues (DiMaggio, Evans, and Bryson 1996; Iyengar and Westwood 2015), arguments that individuals adjust their political preferences based on the performance of the governing party (Page and Shapiro 1992; Bartels and Jackman 2014), arguments that new ideas diffuse across the population through person-to-person contact (Centola 2018), and arguments that changes in elite discourse drive change in mass opinion (Zaller 1992). In the absence of evidence that people change their minds in persisting ways, these theories cannot be valid at the aggregate level, and we must seek other explanations for aggregate changes.</w:t>
      </w:r>
    </w:p>
    <w:p w:rsidR="00AD5AC9" w:rsidRDefault="00AD52EE">
      <w:pPr>
        <w:pStyle w:val="Heading2"/>
      </w:pPr>
      <w:bookmarkStart w:id="4" w:name="settled-dispositions-model"/>
      <w:r>
        <w:t>Settled Dispositions Model</w:t>
      </w:r>
      <w:bookmarkEnd w:id="4"/>
    </w:p>
    <w:p w:rsidR="00AD5AC9" w:rsidRDefault="00AD52EE">
      <w:pPr>
        <w:pStyle w:val="FirstParagraph"/>
      </w:pPr>
      <w:r>
        <w:t>Equation (2) represents the settled dispositions model. Here each respondent begins the study period with a set tendency to respond to the question in a particular way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Temporary considerations, like current events, can play a role in what response she gives at each time (part of the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but these considerations have no lasting impact beyond time </w:t>
      </w:r>
      <m:oMath>
        <m:r>
          <w:rPr>
            <w:rFonts w:ascii="Cambria Math" w:hAnsi="Cambria Math"/>
          </w:rPr>
          <m:t>t</m:t>
        </m:r>
      </m:oMath>
      <w:r>
        <w:t xml:space="preserve">. As the right panel of Figure 1 makes clear, there is no mechanism by which a particular consideration can “propagate up” into the settled disposition and change the baseline for future responses. Such considerations are thus temporary influences only. At its core, this model reflects the Bourdieusian model of action that emphasizes “the past conditions of production” (Bourdieu 1990, 66ff). In other words, updating happened, but it happened in the past, prior to the time of the study. In this sense,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reflects the “habitus.”</w:t>
      </w:r>
    </w:p>
    <w:p w:rsidR="00AD5AC9" w:rsidRDefault="00AD52EE">
      <w:pPr>
        <w:pStyle w:val="BodyText"/>
      </w:pPr>
      <w:r>
        <w:t xml:space="preserve">The SDM underlies theories that suggest that individuals are stable in their dispositions throughout life or, if they do change, tend to revert back to a relatively stable baseline in short time, including “control” theories such as Identity Control Theory and Affect Control Theory </w:t>
      </w:r>
      <w:r>
        <w:lastRenderedPageBreak/>
        <w:t xml:space="preserve">(Robinson 2007; Smith-Lovin and Heise 1988).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 (Mannheim 1952; Ryder 1965). Vaisey and Lizardo (2016), looking at a range of opinion items in the GSS, suggest that change for most </w:t>
      </w:r>
      <w:r w:rsidR="003D53A1">
        <w:t>opinions likely</w:t>
      </w:r>
      <w:r>
        <w:t xml:space="preserve"> comes in the form of cohort replacement.</w:t>
      </w:r>
    </w:p>
    <w:p w:rsidR="00AD5AC9" w:rsidRDefault="00AD52EE">
      <w:pPr>
        <w:pStyle w:val="BodyText"/>
      </w:pPr>
      <w:r>
        <w:t>On its face, the settled dispositions model might seem to imply that individuals hold strong, consistent opinions, but this does not need to be the case. The settled dispositions model is also consistent with theories that suggest that people lack stable opinions and are unable to report them as such in a survey context (Perrin and McFarland 2011; Bourdieu 1979). These theories tend to focus on questions of public policy, since the act of opinion creation requires much more information than individuals typically have (Zaller 1992; Converse 1964), and suggest that peoples’ responses at any particular time are a random deviation from a baseline, with this deviation often assumed to be random and commonly referred to as a form of “measurement error” (Page and Shapiro 1992; Converse 1964). As long as these deviations are random, there is no reason to perceive these changes as a form of updating, even if these wave-to-wave differences are quite large.</w:t>
      </w:r>
    </w:p>
    <w:p w:rsidR="00AD5AC9" w:rsidRDefault="00AD52EE">
      <w:pPr>
        <w:pStyle w:val="BodyText"/>
      </w:pPr>
      <w:r>
        <w:t xml:space="preserve">Like the AUM, the SDM does not require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to be 0 in expectation for the population at time </w:t>
      </w:r>
      <m:oMath>
        <m:r>
          <w:rPr>
            <w:rFonts w:ascii="Cambria Math" w:hAnsi="Cambria Math"/>
          </w:rPr>
          <m:t>t</m:t>
        </m:r>
      </m:oMath>
      <w:r>
        <w:t xml:space="preserve">, but it does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has an expected value of 0 within an individual over time. That is, current considerations can move a person from their baseline temporarily, but there is a tendency to “bounce back” to that baseline over time. The SDM thus allows for population-wide </w:t>
      </w:r>
      <w:r>
        <w:lastRenderedPageBreak/>
        <w:t>shifts in beliefs, practices, or identities at a particular time (temporary period effects), but it assumes that these shifts will be erased over time as people return to their baselines.</w:t>
      </w:r>
    </w:p>
    <w:p w:rsidR="00AD5AC9" w:rsidRDefault="00AD52EE">
      <w:pPr>
        <w:pStyle w:val="BodyText"/>
      </w:pPr>
      <w:r>
        <w:t>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 “measurement error,” and theories that suggest that changes in belief are not real (Page and Shapiro 1992) would be unsupported. Similarly, an item would have to be relatively stable for most adults for aggregate cultural change to come primarily through cohort replacement (Ryder 1965).</w:t>
      </w:r>
    </w:p>
    <w:p w:rsidR="00AD5AC9" w:rsidRDefault="00AD52EE">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 </w:t>
      </w:r>
      <w:r>
        <w:rPr>
          <w:i/>
        </w:rPr>
        <w:t>persisting change</w:t>
      </w:r>
      <w:r>
        <w:t xml:space="preserve"> whereas the SDM predicts </w:t>
      </w:r>
      <w:r>
        <w:rPr>
          <w:i/>
        </w:rPr>
        <w:t>non-persisting change</w:t>
      </w:r>
      <w:r>
        <w:t>. We consider the implications of these predictions below.</w:t>
      </w:r>
    </w:p>
    <w:p w:rsidR="00AD5AC9" w:rsidRDefault="00AD52EE">
      <w:pPr>
        <w:pStyle w:val="Heading2"/>
      </w:pPr>
      <w:bookmarkStart w:id="5" w:name="consistency-in-response"/>
      <w:r>
        <w:t>Consistency in Response</w:t>
      </w:r>
      <w:bookmarkEnd w:id="5"/>
    </w:p>
    <w:p w:rsidR="00AD5AC9" w:rsidRDefault="00AD52EE">
      <w:pPr>
        <w:pStyle w:val="FirstParagraph"/>
      </w:pPr>
      <w:r>
        <w:t xml:space="preserve">Neither model makes any assumptions about the magnitude of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meaning that both models allow for the possibility of either high or low levels of change in responses from wave to wave. This means that we must consider separately the overall </w:t>
      </w:r>
      <w:r>
        <w:rPr>
          <w:i/>
        </w:rPr>
        <w:t>amount</w:t>
      </w:r>
      <w:r>
        <w:t xml:space="preserve"> of change in responses from wave to wave and the </w:t>
      </w:r>
      <w:r>
        <w:rPr>
          <w:i/>
        </w:rPr>
        <w:t>persistence</w:t>
      </w:r>
      <w:r>
        <w:t xml:space="preserve"> 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w:t>
      </w:r>
      <w:r>
        <w:lastRenderedPageBreak/>
        <w:t xml:space="preserve">little random fluctuation, while the other follows a settled disposition pattern with a high amount of random fluctuation allows us to make more precise inferences about the applicability of different theories to these items. As such, we designate a second term, </w:t>
      </w:r>
      <w:r>
        <w:rPr>
          <w:i/>
        </w:rPr>
        <w:t>consistency</w:t>
      </w:r>
      <w:r>
        <w:t xml:space="preserve">, to reflect this second dimension of change. </w:t>
      </w:r>
      <w:r>
        <w:rPr>
          <w:i/>
        </w:rPr>
        <w:t>Consistency</w:t>
      </w:r>
      <w:r>
        <w:t xml:space="preserve"> here simply refers to the degree that the attitude development process departs from pure randomness.</w:t>
      </w:r>
    </w:p>
    <w:p w:rsidR="00AD5AC9" w:rsidRDefault="00AD52EE">
      <w:pPr>
        <w:pStyle w:val="Heading2"/>
      </w:pPr>
      <w:bookmarkStart w:id="6" w:name="toward-theoretical-synthesis"/>
      <w:r>
        <w:t>Toward Theoretical Synthesis</w:t>
      </w:r>
      <w:bookmarkEnd w:id="6"/>
    </w:p>
    <w:p w:rsidR="00AD5AC9" w:rsidRDefault="00AD52EE">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w:t>
      </w:r>
      <w:r w:rsidR="003D53A1">
        <w:t>about</w:t>
      </w:r>
      <w:r>
        <w:t xml:space="preserve"> change at the aggregate level.</w:t>
      </w:r>
    </w:p>
    <w:p w:rsidR="00AD5AC9" w:rsidRDefault="00AD52EE">
      <w:pPr>
        <w:pStyle w:val="BodyText"/>
      </w:pPr>
      <w:r>
        <w:t>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display settled dispositions. There are at least three ways to understand how both models could be present in the population without contradiction: age-based differences, core-periphery models, and public-private differences.</w:t>
      </w:r>
    </w:p>
    <w:p w:rsidR="00AD5AC9" w:rsidRDefault="00AD52EE">
      <w:pPr>
        <w:pStyle w:val="BodyText"/>
      </w:pPr>
      <w:r>
        <w:rPr>
          <w:i/>
        </w:rPr>
        <w:t>Age-based differences:</w:t>
      </w:r>
      <w:r>
        <w:t xml:space="preserve"> The concept of a “cohort effect” is that the environment influences the baseline response tendency when a person is young and then stabilizes for the remainder of one’s life (Elder 1974; Bartels and Jackman 2014). To put it differently, cohort formation requires an early period of persistent change followed by a later period characterized </w:t>
      </w:r>
      <w:r>
        <w:lastRenderedPageBreak/>
        <w:t xml:space="preserve">by either absolute stability (where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is low) or by temporary, non-persisting changes that disappear as people revert to baseline.</w:t>
      </w:r>
    </w:p>
    <w:p w:rsidR="00AD5AC9" w:rsidRDefault="00AD52EE">
      <w:pPr>
        <w:pStyle w:val="BodyText"/>
      </w:pPr>
      <w:r>
        <w:t>Items that reflect a cohort replacement pattern should demonstrate low active updating at the individual level for most adults but high active updating for young people, as this is the period most commonly found to be susceptible to attitude change (Glenn 1974; Inglehart and Baker 2000; Visser and Krosnick 1998; Danigelis, Hardy, and Cutler 2007).</w:t>
      </w:r>
    </w:p>
    <w:p w:rsidR="00AD5AC9" w:rsidRDefault="00AD52EE">
      <w:pPr>
        <w:pStyle w:val="BodyText"/>
      </w:pPr>
      <w:r>
        <w:rPr>
          <w:i/>
        </w:rPr>
        <w:t>Core-periphery models:</w:t>
      </w:r>
      <w:r>
        <w:t xml:space="preserve"> A number of theories of attitude development posit that people hold “core” beliefs that they use to adjudicate peripheral attitudes, such as views on specific policy questions (Boutyline and Vaisey 2017; Goldberg and Stein 2018). Much work in political science has sought to understand whether people use ideological identity, policy positions, moral beliefs, or partisanship to adjudicate their position on other issues (Lakoff 2002; Green, Palmquist, and Schickler 2002; Kinder and Kalmoe 2017). In their analysis of cross-sectional data, Boutyline and Vaisey (2017) find support for ideological identification as the “core” belief in the political space, consistent with Converse’s (1964) notion of social constraint. Baldassari and Gelman (2008) find an increased alignment between partisan identification and policy positions, but little increase in the correlation between specific policy positions over time. They interpret this finding as indicating that “voters are splitting along party lines according to the issues that are most salient to them, while they do not bother to adjust their (weak) preferences on the remaining issues” (Baldassarri and Gelman 2008: pp. 442). This suggests that among items tapping issues of politics, most policy issues should show little active updating, but partisan affiliation should demonstrate the highest level.</w:t>
      </w:r>
    </w:p>
    <w:p w:rsidR="00AD5AC9" w:rsidRDefault="00AD52EE">
      <w:pPr>
        <w:pStyle w:val="BodyText"/>
      </w:pPr>
      <w:r>
        <w:t xml:space="preserve">These models suggest that core beliefs should be relatively stable, that changes in core beliefs should necessitate changes in peripheral beliefs, and that people attempt to align their </w:t>
      </w:r>
      <w:r>
        <w:lastRenderedPageBreak/>
        <w:t xml:space="preserve">peripheral beliefs with their core beliefs. In our framework, beliefs and behaviors that exhibit stable dispositions are more likely to be “core” beliefs than those that exhibit active updating. Core beliefs should also be more consistently reported, since individuals should know where they stand on these core questions. Determining where one stands on peripheral issues requires greater cognitive effort and therefore are more prone to random perturbations, so </w:t>
      </w:r>
      <w:r w:rsidR="001E5FA1">
        <w:t xml:space="preserve">they </w:t>
      </w:r>
      <w:r>
        <w:t>should be reported less consistently.</w:t>
      </w:r>
    </w:p>
    <w:p w:rsidR="00AD5AC9" w:rsidRDefault="00AD52EE">
      <w:pPr>
        <w:pStyle w:val="BodyText"/>
      </w:pPr>
      <w:r>
        <w:rPr>
          <w:i/>
        </w:rPr>
        <w:t>Public vs. Private Culture:</w:t>
      </w:r>
      <w:r>
        <w:t xml:space="preserve"> 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 “personal declarative culture,” the “explicit, symbolically mediated culture” such as language that people use to reason, evaluate, judge, and categorize objects (2017: pp. 91). This kind of knowledge is contradictory and flexible, meaning a person can reach and justify a range of different opinions in response to the same prompt, depending on the circumstances. However, when public culture provides a strong “scaffold” through clear signals of how identities and social locations should influence opinions, it becomes easier for people to maintain consistency (Lizardo and Strand 2010).</w:t>
      </w:r>
    </w:p>
    <w:p w:rsidR="00AD5AC9" w:rsidRDefault="00AD52EE">
      <w:pPr>
        <w:pStyle w:val="BodyText"/>
      </w:pPr>
      <w:r>
        <w:t xml:space="preserve">Theories that argue that individuals do not hold consistent opinions also posit that issues that receive significant media attention can be reported more consistently than other issues (Zaller 1992; Converse 1964). This means a small number of high-profile issues might demonstrate a higher rate of consistency, but we do not expect high rates of active updating for most of these. However, we do highlight one issue that saw significant change in elite opinion, which should lead to active updating in the general population. In the time frame we observe (2006-2014), there was a major shift in elite opinion on the issue of gay rights. Leaders of the </w:t>
      </w:r>
      <w:r>
        <w:lastRenderedPageBreak/>
        <w:t>Democratic Party (including President Barack Obama) came out in favor of legalizing gay marriage, and a number of Republican Party leaders also began to express support for gay marriage. For this issue, we expect to find evidence of active updating throughout the population, not just among young people.</w:t>
      </w:r>
    </w:p>
    <w:p w:rsidR="00AD5AC9" w:rsidRDefault="00AD52EE">
      <w:pPr>
        <w:pStyle w:val="BodyText"/>
      </w:pPr>
      <w:r>
        <w:t>Items that tap some public dimension of behavior and attitudes are likely to show higher levels of active updating because social mechanisms, such as joining a group, can help maintain changes in ways that intrapsychic forces cannot. Any item where the burden of maintaining consistency is externalized and not only “in a person’s head” might demonstrate both higher rates of active updating and greater consistency.</w:t>
      </w:r>
    </w:p>
    <w:p w:rsidR="00AD5AC9" w:rsidRDefault="00AD52EE">
      <w:pPr>
        <w:pStyle w:val="BodyText"/>
      </w:pPr>
      <w:r>
        <w:t>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 “matter.” 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rsidR="00AD5AC9" w:rsidRDefault="00AD52EE">
      <w:pPr>
        <w:pStyle w:val="Heading1"/>
      </w:pPr>
      <w:bookmarkStart w:id="7" w:name="research-questions-and-expectations"/>
      <w:r>
        <w:t>Research Questions and Expectations</w:t>
      </w:r>
      <w:bookmarkEnd w:id="7"/>
    </w:p>
    <w:p w:rsidR="00AD5AC9" w:rsidRDefault="00AD52EE">
      <w:pPr>
        <w:pStyle w:val="FirstParagraph"/>
      </w:pPr>
      <w:r>
        <w:t>With these considerations in mind, we ask the following questions:</w:t>
      </w:r>
    </w:p>
    <w:p w:rsidR="00AD5AC9" w:rsidRDefault="00AD52EE">
      <w:pPr>
        <w:pStyle w:val="BodyText"/>
      </w:pPr>
      <w:r>
        <w:t xml:space="preserve">First, </w:t>
      </w:r>
      <w:r>
        <w:rPr>
          <w:i/>
        </w:rPr>
        <w:t>to what extent are patterns of cultural change generally better described by an active updating model or a settled dispositions model?</w:t>
      </w:r>
      <w:r>
        <w:t xml:space="preserve"> Previous work on cultural change using cross-sectional data has suggested that cohort effects are generally more important than period </w:t>
      </w:r>
      <w:r>
        <w:lastRenderedPageBreak/>
        <w:t>effects in explaining broad cultural change (Vaisey and Lizardo 2016). This implies that, in the repeated measures data on adults we will use here, we should find that the settled dispositions model performs better on most items because cohort formation should be (mostly) complete.</w:t>
      </w:r>
    </w:p>
    <w:p w:rsidR="00AD5AC9" w:rsidRDefault="00AD52EE">
      <w:pPr>
        <w:pStyle w:val="BodyText"/>
      </w:pPr>
      <w:r>
        <w:t xml:space="preserve">Second, </w:t>
      </w:r>
      <w:r>
        <w:rPr>
          <w:i/>
        </w:rPr>
        <w:t>is there evidence that younger respondents are doing more active updating than older respondents?</w:t>
      </w:r>
      <w:r>
        <w:t xml:space="preserve"> 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rsidR="00AD5AC9" w:rsidRDefault="00AD52EE">
      <w:pPr>
        <w:pStyle w:val="BodyText"/>
      </w:pPr>
      <w:r>
        <w:t xml:space="preserve">Third, </w:t>
      </w:r>
      <w:r>
        <w:rPr>
          <w:i/>
        </w:rPr>
        <w:t>are there systematic differences in item content between questions that exhibit different levels of active updating and consistency?</w:t>
      </w:r>
      <w:r>
        <w:t xml:space="preserve"> 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rsidR="00AD5AC9" w:rsidRDefault="00AD52EE">
      <w:pPr>
        <w:pStyle w:val="Heading1"/>
      </w:pPr>
      <w:bookmarkStart w:id="8" w:name="analytic-strategy"/>
      <w:r>
        <w:t>Analytic Strategy</w:t>
      </w:r>
      <w:bookmarkEnd w:id="8"/>
    </w:p>
    <w:p w:rsidR="00AD5AC9" w:rsidRDefault="00AD52EE">
      <w:pPr>
        <w:pStyle w:val="FirstParagraph"/>
      </w:pPr>
      <w:r>
        <w:t>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rsidR="00AD5AC9" w:rsidRDefault="00AD52EE">
      <w:pPr>
        <w:pStyle w:val="Heading2"/>
      </w:pPr>
      <w:bookmarkStart w:id="9" w:name="statistical-model"/>
      <w:r>
        <w:lastRenderedPageBreak/>
        <w:t>Statistical Model</w:t>
      </w:r>
      <w:bookmarkEnd w:id="9"/>
    </w:p>
    <w:p w:rsidR="00AD5AC9" w:rsidRDefault="00AD52EE">
      <w:pPr>
        <w:pStyle w:val="Heading3"/>
      </w:pPr>
      <w:bookmarkStart w:id="10" w:name="basic-models"/>
      <w:r>
        <w:t>Basic Models</w:t>
      </w:r>
      <w:bookmarkEnd w:id="10"/>
    </w:p>
    <w:p w:rsidR="00AD5AC9" w:rsidRDefault="00AD52EE">
      <w:pPr>
        <w:pStyle w:val="FirstParagraph"/>
      </w:pPr>
      <w:r>
        <w:t>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rsidR="00AD5AC9" w:rsidRDefault="00AD52EE">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i2</m:t>
              </m:r>
            </m:sub>
          </m:sSub>
          <m:r>
            <w:rPr>
              <w:rFonts w:ascii="Cambria Math" w:hAnsi="Cambria Math"/>
            </w:rPr>
            <m:t>  (3)</m:t>
          </m:r>
        </m:oMath>
      </m:oMathPara>
    </w:p>
    <w:p w:rsidR="00AD5AC9" w:rsidRDefault="00AD52EE">
      <w:pPr>
        <w:pStyle w:val="FirstParagraph"/>
      </w:pPr>
      <w:r>
        <w:t>That is, the AUM predicts that a respondent’s most recent response is the best available predictor of her next response, and that wave 1 carries no additional information in predicting wave 3 once we control for wave 2 (the coefficient on this term should be 0). If change is persisting, then our best guess is that a person’s response will be close to what they said last time, and previous responses will provide no additional predictive power.</w:t>
      </w:r>
    </w:p>
    <w:p w:rsidR="00AD5AC9" w:rsidRDefault="00AD52EE">
      <w:pPr>
        <w:pStyle w:val="BodyText"/>
      </w:pPr>
      <w:r>
        <w:t>The SDM makes the following prediction:</w:t>
      </w:r>
    </w:p>
    <w:p w:rsidR="00AD5AC9" w:rsidRDefault="00AD52EE">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  (4)</m:t>
          </m:r>
        </m:oMath>
      </m:oMathPara>
    </w:p>
    <w:p w:rsidR="00AD5AC9" w:rsidRDefault="00AD52EE">
      <w:pPr>
        <w:pStyle w:val="FirstParagraph"/>
      </w:pPr>
      <w:r>
        <w:t xml:space="preserve">Since the best estimate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the mean of the respondent’s two previous answers, we can rewrite the SDM prediction like this:</w:t>
      </w:r>
    </w:p>
    <w:p w:rsidR="00AD5AC9" w:rsidRDefault="00AD52EE">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num>
            <m:den>
              <m:r>
                <w:rPr>
                  <w:rFonts w:ascii="Cambria Math" w:hAnsi="Cambria Math"/>
                </w:rPr>
                <m:t>2</m:t>
              </m:r>
            </m:den>
          </m:f>
          <m:r>
            <w:rPr>
              <w:rFonts w:ascii="Cambria Math" w:hAnsi="Cambria Math"/>
            </w:rPr>
            <m:t>  (5)</m:t>
          </m:r>
        </m:oMath>
      </m:oMathPara>
    </w:p>
    <w:p w:rsidR="00AD5AC9" w:rsidRDefault="00AD52EE">
      <w:pPr>
        <w:pStyle w:val="FirstParagraph"/>
      </w:pPr>
      <w:r>
        <w:t>That is, the SDM predicts that the average response of previous waves is the best predictor of the next response. If change is non-persisting, then taking the average of the last two responses will be our best guess about a person’s underlying position.</w:t>
      </w:r>
    </w:p>
    <w:p w:rsidR="00AD5AC9" w:rsidRDefault="00AD52EE">
      <w:pPr>
        <w:pStyle w:val="Heading3"/>
      </w:pPr>
      <w:bookmarkStart w:id="11" w:name="combined-model"/>
      <w:r>
        <w:t>Combined Model</w:t>
      </w:r>
      <w:bookmarkEnd w:id="11"/>
    </w:p>
    <w:p w:rsidR="00AD5AC9" w:rsidRDefault="00AD52EE">
      <w:pPr>
        <w:pStyle w:val="FirstParagraph"/>
      </w:pPr>
      <w:r>
        <w:t xml:space="preserve">Both of the models above include </w:t>
      </w:r>
      <m:oMath>
        <m:sSub>
          <m:sSubPr>
            <m:ctrlPr>
              <w:rPr>
                <w:rFonts w:ascii="Cambria Math" w:hAnsi="Cambria Math"/>
              </w:rPr>
            </m:ctrlPr>
          </m:sSubPr>
          <m:e>
            <m:r>
              <w:rPr>
                <w:rFonts w:ascii="Cambria Math" w:hAnsi="Cambria Math"/>
              </w:rPr>
              <m:t>y</m:t>
            </m:r>
          </m:e>
          <m:sub>
            <m:r>
              <w:rPr>
                <w:rFonts w:ascii="Cambria Math" w:hAnsi="Cambria Math"/>
              </w:rPr>
              <m:t>i2</m:t>
            </m:r>
          </m:sub>
        </m:sSub>
      </m:oMath>
      <w:r>
        <w:t xml:space="preserve"> as a predictor of </w:t>
      </w:r>
      <m:oMath>
        <m:sSub>
          <m:sSubPr>
            <m:ctrlPr>
              <w:rPr>
                <w:rFonts w:ascii="Cambria Math" w:hAnsi="Cambria Math"/>
              </w:rPr>
            </m:ctrlPr>
          </m:sSubPr>
          <m:e>
            <m:r>
              <w:rPr>
                <w:rFonts w:ascii="Cambria Math" w:hAnsi="Cambria Math"/>
              </w:rPr>
              <m:t>y</m:t>
            </m:r>
          </m:e>
          <m:sub>
            <m:r>
              <w:rPr>
                <w:rFonts w:ascii="Cambria Math" w:hAnsi="Cambria Math"/>
              </w:rPr>
              <m:t>i3</m:t>
            </m:r>
          </m:sub>
        </m:sSub>
      </m:oMath>
      <w:r>
        <w:t xml:space="preserve">, but only the settled dispositions model includes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as a predictor. If the SDM is correct,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should be just as </w:t>
      </w:r>
      <w:r>
        <w:lastRenderedPageBreak/>
        <w:t xml:space="preserve">predictive as </w:t>
      </w:r>
      <m:oMath>
        <m:sSub>
          <m:sSubPr>
            <m:ctrlPr>
              <w:rPr>
                <w:rFonts w:ascii="Cambria Math" w:hAnsi="Cambria Math"/>
              </w:rPr>
            </m:ctrlPr>
          </m:sSubPr>
          <m:e>
            <m:r>
              <w:rPr>
                <w:rFonts w:ascii="Cambria Math" w:hAnsi="Cambria Math"/>
              </w:rPr>
              <m:t>y</m:t>
            </m:r>
          </m:e>
          <m:sub>
            <m:r>
              <w:rPr>
                <w:rFonts w:ascii="Cambria Math" w:hAnsi="Cambria Math"/>
              </w:rPr>
              <m:t>i2</m:t>
            </m:r>
          </m:sub>
        </m:sSub>
      </m:oMath>
      <w:r>
        <w:t xml:space="preserve"> because both are (on average) equally informative about the respondent’s stable disposition. Therefore, to test for evidence of active updating we use a model that evaluates whether </w:t>
      </w:r>
      <m:oMath>
        <m:sSub>
          <m:sSubPr>
            <m:ctrlPr>
              <w:rPr>
                <w:rFonts w:ascii="Cambria Math" w:hAnsi="Cambria Math"/>
              </w:rPr>
            </m:ctrlPr>
          </m:sSubPr>
          <m:e>
            <m:r>
              <w:rPr>
                <w:rFonts w:ascii="Cambria Math" w:hAnsi="Cambria Math"/>
              </w:rPr>
              <m:t>y</m:t>
            </m:r>
          </m:e>
          <m:sub>
            <m:r>
              <w:rPr>
                <w:rFonts w:ascii="Cambria Math" w:hAnsi="Cambria Math"/>
              </w:rPr>
              <m:t>i2</m:t>
            </m:r>
          </m:sub>
        </m:sSub>
      </m:oMath>
      <w:r>
        <w:t xml:space="preserve"> carries any additional predictive power over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If the two previous estimates are equally predictive, then we can be relatively confident that the data we observe came from a settled dispositions model. However, if </w:t>
      </w:r>
      <m:oMath>
        <m:sSub>
          <m:sSubPr>
            <m:ctrlPr>
              <w:rPr>
                <w:rFonts w:ascii="Cambria Math" w:hAnsi="Cambria Math"/>
              </w:rPr>
            </m:ctrlPr>
          </m:sSubPr>
          <m:e>
            <m:r>
              <w:rPr>
                <w:rFonts w:ascii="Cambria Math" w:hAnsi="Cambria Math"/>
              </w:rPr>
              <m:t>y</m:t>
            </m:r>
          </m:e>
          <m:sub>
            <m:r>
              <w:rPr>
                <w:rFonts w:ascii="Cambria Math" w:hAnsi="Cambria Math"/>
              </w:rPr>
              <m:t>i2</m:t>
            </m:r>
          </m:sub>
        </m:sSub>
      </m:oMath>
      <w:r>
        <w:t xml:space="preserve"> is a better predictor of </w:t>
      </w:r>
      <m:oMath>
        <m:sSub>
          <m:sSubPr>
            <m:ctrlPr>
              <w:rPr>
                <w:rFonts w:ascii="Cambria Math" w:hAnsi="Cambria Math"/>
              </w:rPr>
            </m:ctrlPr>
          </m:sSubPr>
          <m:e>
            <m:r>
              <w:rPr>
                <w:rFonts w:ascii="Cambria Math" w:hAnsi="Cambria Math"/>
              </w:rPr>
              <m:t>y</m:t>
            </m:r>
          </m:e>
          <m:sub>
            <m:r>
              <w:rPr>
                <w:rFonts w:ascii="Cambria Math" w:hAnsi="Cambria Math"/>
              </w:rPr>
              <m:t>i3</m:t>
            </m:r>
          </m:sub>
        </m:sSub>
      </m:oMath>
      <w:r>
        <w:t xml:space="preserve"> than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is, we begin to observe evidence that at least some individuals in the population engage in active updating. We use the following non-linear model to estimate the relative influence of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i2</m:t>
            </m:r>
          </m:sub>
        </m:sSub>
      </m:oMath>
      <w:r>
        <w:t>:</w:t>
      </w:r>
    </w:p>
    <w:p w:rsidR="00AD5AC9" w:rsidRDefault="00AD52EE">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)=α+ϕβ</m:t>
          </m:r>
          <m:sSub>
            <m:sSubPr>
              <m:ctrlPr>
                <w:rPr>
                  <w:rFonts w:ascii="Cambria Math" w:hAnsi="Cambria Math"/>
                </w:rPr>
              </m:ctrlPr>
            </m:sSubPr>
            <m:e>
              <m:r>
                <w:rPr>
                  <w:rFonts w:ascii="Cambria Math" w:hAnsi="Cambria Math"/>
                </w:rPr>
                <m:t>y</m:t>
              </m:r>
            </m:e>
            <m:sub>
              <m:r>
                <w:rPr>
                  <w:rFonts w:ascii="Cambria Math" w:hAnsi="Cambria Math"/>
                </w:rPr>
                <m:t>i2</m:t>
              </m:r>
            </m:sub>
          </m:sSub>
          <m:r>
            <w:rPr>
              <w:rFonts w:ascii="Cambria Math" w:hAnsi="Cambria Math"/>
            </w:rPr>
            <m:t>+(1-ϕ)β</m:t>
          </m:r>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  (6)</m:t>
          </m:r>
        </m:oMath>
      </m:oMathPara>
    </w:p>
    <w:p w:rsidR="00AD5AC9" w:rsidRDefault="00AD52EE">
      <w:pPr>
        <w:pStyle w:val="FirstParagraph"/>
      </w:pPr>
      <w:r>
        <w:t xml:space="preserve">Rather than estimate separate coefficient estimates for </w:t>
      </w:r>
      <m:oMath>
        <m:sSub>
          <m:sSubPr>
            <m:ctrlPr>
              <w:rPr>
                <w:rFonts w:ascii="Cambria Math" w:hAnsi="Cambria Math"/>
              </w:rPr>
            </m:ctrlPr>
          </m:sSubPr>
          <m:e>
            <m:r>
              <w:rPr>
                <w:rFonts w:ascii="Cambria Math" w:hAnsi="Cambria Math"/>
              </w:rPr>
              <m:t>y</m:t>
            </m:r>
          </m:e>
          <m:sub>
            <m:r>
              <w:rPr>
                <w:rFonts w:ascii="Cambria Math" w:hAnsi="Cambria Math"/>
              </w:rPr>
              <m:t>i2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this model generates two parameter estimates of interest for each item in our analysis: </w:t>
      </w:r>
      <m:oMath>
        <m:r>
          <w:rPr>
            <w:rFonts w:ascii="Cambria Math" w:hAnsi="Cambria Math"/>
          </w:rPr>
          <m:t>β</m:t>
        </m:r>
      </m:oMath>
      <w:r>
        <w:t xml:space="preserve">, which captures how well any combination of previous waves predicts a person’s response at wave 3, and </w:t>
      </w:r>
      <m:oMath>
        <m:r>
          <w:rPr>
            <w:rFonts w:ascii="Cambria Math" w:hAnsi="Cambria Math"/>
          </w:rPr>
          <m:t>ϕ</m:t>
        </m:r>
      </m:oMath>
      <w:r>
        <w:t xml:space="preserve">, the relative proportion of wave 3 explained by wave 2 compared to wave 1. If the Settled Dispositions Model is the preferred data-generating process for an item, then both </w:t>
      </w:r>
      <m:oMath>
        <m:sSub>
          <m:sSubPr>
            <m:ctrlPr>
              <w:rPr>
                <w:rFonts w:ascii="Cambria Math" w:hAnsi="Cambria Math"/>
              </w:rPr>
            </m:ctrlPr>
          </m:sSubPr>
          <m:e>
            <m:r>
              <w:rPr>
                <w:rFonts w:ascii="Cambria Math" w:hAnsi="Cambria Math"/>
              </w:rPr>
              <m:t>y</m:t>
            </m:r>
          </m:e>
          <m:sub>
            <m:r>
              <w:rPr>
                <w:rFonts w:ascii="Cambria Math" w:hAnsi="Cambria Math"/>
              </w:rPr>
              <m:t>i2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i1</m:t>
            </m:r>
          </m:sub>
        </m:sSub>
      </m:oMath>
      <w:r>
        <w:t xml:space="preserve"> should be equally predictive of </w:t>
      </w:r>
      <m:oMath>
        <m:sSub>
          <m:sSubPr>
            <m:ctrlPr>
              <w:rPr>
                <w:rFonts w:ascii="Cambria Math" w:hAnsi="Cambria Math"/>
              </w:rPr>
            </m:ctrlPr>
          </m:sSubPr>
          <m:e>
            <m:r>
              <w:rPr>
                <w:rFonts w:ascii="Cambria Math" w:hAnsi="Cambria Math"/>
              </w:rPr>
              <m:t>y</m:t>
            </m:r>
          </m:e>
          <m:sub>
            <m:r>
              <w:rPr>
                <w:rFonts w:ascii="Cambria Math" w:hAnsi="Cambria Math"/>
              </w:rPr>
              <m:t>i3</m:t>
            </m:r>
          </m:sub>
        </m:sSub>
      </m:oMath>
      <w:r>
        <w:t xml:space="preserve">, and </w:t>
      </w:r>
      <m:oMath>
        <m:r>
          <w:rPr>
            <w:rFonts w:ascii="Cambria Math" w:hAnsi="Cambria Math"/>
          </w:rPr>
          <m:t>ϕ</m:t>
        </m:r>
      </m:oMath>
      <w:r>
        <w:t xml:space="preserve"> will equal .5, meaning the best estimate of wave 3 is a function of the mean of previous waves, consistent with Equation (5). If the active updating model is present in at least some respondents and wave 1 provides no additional predictive power when we control for wave 2, then </w:t>
      </w:r>
      <m:oMath>
        <m:r>
          <w:rPr>
            <w:rFonts w:ascii="Cambria Math" w:hAnsi="Cambria Math"/>
          </w:rPr>
          <m:t>ϕ</m:t>
        </m:r>
      </m:oMath>
      <w:r>
        <w:t xml:space="preserve"> will increase toward 1 to converge with Equation (3) in certain circumstances.</w:t>
      </w:r>
    </w:p>
    <w:p w:rsidR="00AD5AC9" w:rsidRDefault="00AD52EE">
      <w:pPr>
        <w:pStyle w:val="BodyText"/>
      </w:pPr>
      <w:r>
        <w:t xml:space="preserve">At the same time, our estimates of </w:t>
      </w:r>
      <m:oMath>
        <m:r>
          <w:rPr>
            <w:rFonts w:ascii="Cambria Math" w:hAnsi="Cambria Math"/>
          </w:rPr>
          <m:t>β</m:t>
        </m:r>
      </m:oMath>
      <w:r>
        <w:t xml:space="preserve"> provide a measure of the consistency of individuals’ responses, contingent on the degree of active updating in responses. We can think of this parameter as analogous to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in a traditional linear model, capturing the total “predictiveness” of the model. If individuals pick a random response at each wave, the best predictor for a person at wave 3 will be the sample average, and </w:t>
      </w:r>
      <m:oMath>
        <m:r>
          <w:rPr>
            <w:rFonts w:ascii="Cambria Math" w:hAnsi="Cambria Math"/>
          </w:rPr>
          <m:t>β=0</m:t>
        </m:r>
      </m:oMath>
      <w:r>
        <w:t xml:space="preserve">. If there is little random </w:t>
      </w:r>
      <w:r>
        <w:lastRenderedPageBreak/>
        <w:t xml:space="preserve">fluctuation between waves, once the amount of active updating is accounted for, </w:t>
      </w:r>
      <m:oMath>
        <m:r>
          <w:rPr>
            <w:rFonts w:ascii="Cambria Math" w:hAnsi="Cambria Math"/>
          </w:rPr>
          <m:t>β</m:t>
        </m:r>
      </m:oMath>
      <w:r>
        <w:t xml:space="preserve"> will approach 1.</w:t>
      </w:r>
    </w:p>
    <w:p w:rsidR="00AD5AC9" w:rsidRDefault="00AD52EE">
      <w:pPr>
        <w:pStyle w:val="Heading3"/>
      </w:pPr>
      <w:bookmarkStart w:id="12" w:name="comparison-to-other-approaches"/>
      <w:r>
        <w:t>Comparison to Other Approaches</w:t>
      </w:r>
      <w:bookmarkEnd w:id="12"/>
    </w:p>
    <w:p w:rsidR="00AD5AC9" w:rsidRDefault="00AD52EE">
      <w:pPr>
        <w:pStyle w:val="FirstParagraph"/>
      </w:pPr>
      <w:r>
        <w:t>Our model is not the first to measure stability and change in panel data, but existing models make assumptions that eliminate the distinction between data-generating processes we seek to test. Hout and Hastings (2016) use a hierarchical model to measure reliability in GSS survey responses over time.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 (2007) and Heise (1969) 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 “structural” and “non-structural,” both of which can be persisting and non-persisting. This distinction, while important for some theoretical questions, is not our focus.</w:t>
      </w:r>
    </w:p>
    <w:p w:rsidR="00AD5AC9" w:rsidRDefault="00AD52EE">
      <w:pPr>
        <w:pStyle w:val="BodyText"/>
      </w:pPr>
      <w:r>
        <w:t xml:space="preserve">A number of other approaches seek to understand the consistency of latent beliefs by combining and scaling responses to questions that represent the same latent concept (Ansolabehere, Rodden, and Jr. 2008), assuming that wave-to-wave changes in responses tend to represent measurement errors around a “true” latent belief. This raises the distinction between the </w:t>
      </w:r>
      <w:r>
        <w:rPr>
          <w:i/>
        </w:rPr>
        <w:t>stability of a belief</w:t>
      </w:r>
      <w:r>
        <w:t xml:space="preserve"> and the </w:t>
      </w:r>
      <w:r>
        <w:rPr>
          <w:i/>
        </w:rPr>
        <w:t>stability of a survey question response</w:t>
      </w:r>
      <w:r>
        <w:t xml:space="preserve">. Since we at times invoke both these models, we include a handful of composite scales (discussed below) of related items. If wave-to-wave changes in survey responses are non-persisting measurement errors, then scales </w:t>
      </w:r>
      <w:r>
        <w:lastRenderedPageBreak/>
        <w:t>should have higher consistency than the measures they comprise, but we should see no difference in persistence.</w:t>
      </w:r>
    </w:p>
    <w:p w:rsidR="00AD5AC9" w:rsidRDefault="00AD52EE">
      <w:pPr>
        <w:pStyle w:val="BodyText"/>
      </w:pPr>
      <w:r>
        <w:t>Another possibility is that participation in the survey itself produces change or stability, referred to as panel conditioning bias (Warren and Halpern-Manners 2012; Oh, Yeatman, and Trinitapoli 2019). While Warren and Halpern-Manners (2012) 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 “game” the survey to get through it faster. If this were taking place in the GSS, it would result in a pattern of high active updating and high consistency, as respondents would change between waves 1 and 2, and wave 2 becomes a better predictor of wave 3.</w:t>
      </w:r>
    </w:p>
    <w:p w:rsidR="00AD5AC9" w:rsidRDefault="00AD52EE">
      <w:pPr>
        <w:pStyle w:val="BodyText"/>
      </w:pPr>
      <w:r>
        <w:t>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the population, which would hinder our ability to extrapolate our findings, but would still provide evidence that people update their beliefs over time.</w:t>
      </w:r>
    </w:p>
    <w:p w:rsidR="00AD5AC9" w:rsidRDefault="00AD52EE">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w:t>
      </w:r>
      <w:r>
        <w:lastRenderedPageBreak/>
        <w:t>population. However, if this is the case, we should observe no active updating in responses and high levels of consistency, as it would be illogical for individuals to report random changes if they were attempting to maintain consistency.</w:t>
      </w:r>
    </w:p>
    <w:p w:rsidR="00AD5AC9" w:rsidRDefault="00AD52EE">
      <w:pPr>
        <w:pStyle w:val="BodyText"/>
      </w:pPr>
      <w:r>
        <w:t>Finally, a number of approaches exist for evaluating theoretical process of belief change for the population, such as examining the association between theoretically related values (Baldassarri and Gelman 2008; Boutyline and Vaisey 2017), or by looking at changes in the distribution of responses over time (DiMaggio, Evans, and Bryson 1996). These tools are well designed to address the questions they set out to answer. However, since our theoretical questions focus on the process of belief change within individuals, these do not speak to our core concerns.</w:t>
      </w:r>
    </w:p>
    <w:p w:rsidR="00AD5AC9" w:rsidRDefault="00AD52EE">
      <w:pPr>
        <w:pStyle w:val="Heading3"/>
      </w:pPr>
      <w:bookmarkStart w:id="13" w:name="limitations-of-the-method"/>
      <w:r>
        <w:t>Limitations of the Method</w:t>
      </w:r>
      <w:bookmarkEnd w:id="13"/>
    </w:p>
    <w:p w:rsidR="00AD5AC9" w:rsidRDefault="00AD52EE">
      <w:pPr>
        <w:pStyle w:val="FirstParagraph"/>
      </w:pPr>
      <w:r>
        <w:t>Three challenges limit our ability to evaluate the presence of settled dispositions and active updating models using our approach. These challenges put some limitations on the conclusions we can reach.</w:t>
      </w:r>
    </w:p>
    <w:p w:rsidR="00AD5AC9" w:rsidRDefault="00AD52EE">
      <w:pPr>
        <w:pStyle w:val="BodyText"/>
      </w:pPr>
      <w:r>
        <w:t xml:space="preserve">The first is that our model is designed to allocate variance explained to each of the prior predictors rather than to assign probabilities to each data-generating process. Because of this, a few individuals making large persisting changes can inflate the </w:t>
      </w:r>
      <m:oMath>
        <m:r>
          <w:rPr>
            <w:rFonts w:ascii="Cambria Math" w:hAnsi="Cambria Math"/>
          </w:rPr>
          <m:t>ϕ</m:t>
        </m:r>
      </m:oMath>
      <w:r>
        <w:t xml:space="preserve"> estimate even if most individuals make small non-persisting changes.</w:t>
      </w:r>
    </w:p>
    <w:p w:rsidR="00AD5AC9" w:rsidRDefault="00AD52EE">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anew each wave (Zaller 1992; Converse 1964), and in that case it should not be considered “error” so much as an indicator of that process at work, since there is no “true” item to measure. For other theories, measurement error reflects individuals’ inability to accurately report their response. It is also </w:t>
      </w:r>
      <w:r>
        <w:lastRenderedPageBreak/>
        <w:t>possible that measurement error reflects errors of selection and interpretation, such as misunderstanding the question or incorrect coding.</w:t>
      </w:r>
    </w:p>
    <w:p w:rsidR="00AD5AC9" w:rsidRDefault="00AD52EE">
      <w:pPr>
        <w:pStyle w:val="BodyText"/>
      </w:pPr>
      <w:r>
        <w:t xml:space="preserve">Because measurement error looks the same as non-persisting real change (and because the latter is sometimes interpreted as the former), estimates of </w:t>
      </w:r>
      <m:oMath>
        <m:r>
          <w:rPr>
            <w:rFonts w:ascii="Cambria Math" w:hAnsi="Cambria Math"/>
          </w:rPr>
          <m:t>ϕ</m:t>
        </m:r>
      </m:oMath>
      <w:r>
        <w:t xml:space="preserve"> will be biased toward .5, since wave 1 would be informative for all individuals who do change. There is evidence that many of the items explored in our analysis are measured with significant error (Alwin 2007; Hout and Hastings 2016). On the other hand, previous studies of measurement reliability tend to conflate measurement error and non-persisting real change in attitudes, meaning that while we might have good estimates for the combination of these two processes, we cannot separate them. Because of measurement error, it is unlikely that </w:t>
      </w:r>
      <m:oMath>
        <m:r>
          <w:rPr>
            <w:rFonts w:ascii="Cambria Math" w:hAnsi="Cambria Math"/>
          </w:rPr>
          <m:t>ϕ</m:t>
        </m:r>
      </m:oMath>
      <w:r>
        <w:t xml:space="preserve"> and </w:t>
      </w:r>
      <m:oMath>
        <m:r>
          <w:rPr>
            <w:rFonts w:ascii="Cambria Math" w:hAnsi="Cambria Math"/>
          </w:rPr>
          <m:t>β</m:t>
        </m:r>
      </m:oMath>
      <w:r>
        <w:t xml:space="preserve"> will reach 1 for any item, even if the underlying process is fully based on active updating.</w:t>
      </w:r>
    </w:p>
    <w:p w:rsidR="00AD5AC9" w:rsidRDefault="00AD52EE">
      <w:pPr>
        <w:pStyle w:val="BodyText"/>
      </w:pPr>
      <w:r>
        <w:t xml:space="preserve">The third challenge of our analysis is that we focus on predicting wave 3. If individuals have a high likelihood of changing between waves 2 and 3, our ability to predict responses at wave 3 will be limited and </w:t>
      </w:r>
      <m:oMath>
        <m:r>
          <w:rPr>
            <w:rFonts w:ascii="Cambria Math" w:hAnsi="Cambria Math"/>
          </w:rPr>
          <m:t>β</m:t>
        </m:r>
      </m:oMath>
      <w:r>
        <w:t xml:space="preserve"> will be low. Our model relies on the assumption that “persisting” 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 “persistent.”</w:t>
      </w:r>
    </w:p>
    <w:p w:rsidR="00AD5AC9" w:rsidRDefault="00AD52EE">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 </w:t>
      </w:r>
      <m:oMath>
        <m:r>
          <w:rPr>
            <w:rFonts w:ascii="Cambria Math" w:hAnsi="Cambria Math"/>
          </w:rPr>
          <m:t>ϕ</m:t>
        </m:r>
      </m:oMath>
      <w:r>
        <w:t xml:space="preserve"> estimates. The second is change in the </w:t>
      </w:r>
      <w:r>
        <w:lastRenderedPageBreak/>
        <w:t xml:space="preserve">variance of responses. If all individuals shift outward or inward toward the population mean but maintain their relative position in the overall distribution, this change will be absorbed into </w:t>
      </w:r>
      <m:oMath>
        <m:r>
          <w:rPr>
            <w:rFonts w:ascii="Cambria Math" w:hAnsi="Cambria Math"/>
          </w:rPr>
          <m:t>β</m:t>
        </m:r>
      </m:oMath>
      <w:r>
        <w:t xml:space="preserve"> but not enter into </w:t>
      </w:r>
      <m:oMath>
        <m:r>
          <w:rPr>
            <w:rFonts w:ascii="Cambria Math" w:hAnsi="Cambria Math"/>
          </w:rPr>
          <m:t>ϕ</m:t>
        </m:r>
      </m:oMath>
      <w:r>
        <w:t>.</w:t>
      </w:r>
    </w:p>
    <w:p w:rsidR="00AD5AC9" w:rsidRDefault="00AD52EE">
      <w:pPr>
        <w:pStyle w:val="BodyText"/>
      </w:pPr>
      <w:r>
        <w:t>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rsidR="00AD5AC9" w:rsidRDefault="00AD52EE">
      <w:pPr>
        <w:pStyle w:val="Heading2"/>
      </w:pPr>
      <w:bookmarkStart w:id="14" w:name="analysis-steps"/>
      <w:r>
        <w:t>Analysis Steps</w:t>
      </w:r>
      <w:bookmarkEnd w:id="14"/>
    </w:p>
    <w:p w:rsidR="00AD5AC9" w:rsidRDefault="00AD52EE">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 </w:t>
      </w:r>
      <m:oMath>
        <m:r>
          <w:rPr>
            <w:rFonts w:ascii="Cambria Math" w:hAnsi="Cambria Math"/>
          </w:rPr>
          <m:t>ϕ</m:t>
        </m:r>
      </m:oMath>
      <w:r>
        <w:t xml:space="preserve"> to a model that constrains </w:t>
      </w:r>
      <m:oMath>
        <m:r>
          <w:rPr>
            <w:rFonts w:ascii="Cambria Math" w:hAnsi="Cambria Math"/>
          </w:rPr>
          <m:t>ϕ=.5</m:t>
        </m:r>
      </m:oMath>
      <w:r>
        <w:t>.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rsidR="00AD5AC9" w:rsidRDefault="00AD52EE">
      <w:pPr>
        <w:pStyle w:val="BodyText"/>
      </w:pPr>
      <w:r>
        <w:t>Second, for variables that show at least some evidence of active updating (</w:t>
      </w:r>
      <m:oMath>
        <m:r>
          <w:rPr>
            <w:rFonts w:ascii="Cambria Math" w:hAnsi="Cambria Math"/>
          </w:rPr>
          <m:t>ϕ&gt;0.5</m:t>
        </m:r>
      </m:oMath>
      <w:r>
        <w:t xml:space="preserve">), we ask whether the persistent change is concentrated among younger respondents. To test this, we re-estimate our original model and allow </w:t>
      </w:r>
      <m:oMath>
        <m:r>
          <w:rPr>
            <w:rFonts w:ascii="Cambria Math" w:hAnsi="Cambria Math"/>
          </w:rPr>
          <m:t>ϕ</m:t>
        </m:r>
      </m:oMath>
      <w:r>
        <w:t xml:space="preserve"> 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rsidR="00AD5AC9" w:rsidRDefault="00AD52EE">
      <w:pPr>
        <w:pStyle w:val="BodyText"/>
      </w:pPr>
      <w:r>
        <w:lastRenderedPageBreak/>
        <w:t>Finally, with these findings in hand,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largely inductive.</w:t>
      </w:r>
    </w:p>
    <w:p w:rsidR="00AD5AC9" w:rsidRDefault="00AD52EE">
      <w:pPr>
        <w:pStyle w:val="Heading2"/>
      </w:pPr>
      <w:bookmarkStart w:id="15" w:name="item-selection"/>
      <w:r>
        <w:t>Item Selection</w:t>
      </w:r>
      <w:bookmarkEnd w:id="15"/>
    </w:p>
    <w:p w:rsidR="00AD5AC9" w:rsidRDefault="00AD52EE">
      <w:pPr>
        <w:pStyle w:val="FirstParagraph"/>
      </w:pPr>
      <w:r>
        <w:t>We want to test our model on as broad a range of items tapping attitudes, beliefs, and social behaviors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 (2016) and group questions into 15 categories based on their subject material. Questions in the same category tend to be asked in the same block during the survey and have the same structure, such as questions about confidence in institutions, questions about public spending, and questions about social life.</w:t>
      </w:r>
    </w:p>
    <w:p w:rsidR="00AD5AC9" w:rsidRDefault="00AD52EE">
      <w:pPr>
        <w:pStyle w:val="BodyText"/>
      </w:pPr>
      <w:r>
        <w:t xml:space="preserve">We also follow Hout and Hastings (2016) in recreating common scales about gender roles, access to abortion, and social trust. This includes Rossi’s six-question scale of support for abortion and a seven-question scale which includes the question asking about abortion under any circumstances (“abany”). We use Smith’s (1997) scale of “misanthropy” by combining questions about how helpful, fair, and trustworthy people are. We use four questions to create a scale of gender role attitudes (Cotter, Hermsen, and Vanneman 2011). Like Hout and Hastings, we combine civil liberties items into six scales about the freedom of atheists, communists, </w:t>
      </w:r>
      <w:r>
        <w:lastRenderedPageBreak/>
        <w:t>militarists, racists, and, in the 2010-14 panel, Muslim clergy. We combine four parallel questions about how frequently individuals socialize to create a “social life” 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rsidR="00AD5AC9" w:rsidRDefault="00AD52EE">
      <w:pPr>
        <w:pStyle w:val="BodyText"/>
      </w:pPr>
      <w:r>
        <w:t>In total, we test the model on 184 GSS items, including the composite scales.</w:t>
      </w:r>
      <w:r>
        <w:rPr>
          <w:rStyle w:val="FootnoteReference"/>
        </w:rPr>
        <w:footnoteReference w:id="1"/>
      </w:r>
      <w:r>
        <w:t xml:space="preserve"> For each question, we use all cases for which the respondent gave responses in all three waves. Models are estimated using weights that account for the GSS’s sampling design as well as non-response adjustment.</w:t>
      </w:r>
    </w:p>
    <w:p w:rsidR="00AD5AC9" w:rsidRDefault="00AD52EE">
      <w:pPr>
        <w:pStyle w:val="Heading1"/>
      </w:pPr>
      <w:bookmarkStart w:id="16" w:name="results"/>
      <w:r>
        <w:t>Results</w:t>
      </w:r>
      <w:bookmarkEnd w:id="16"/>
    </w:p>
    <w:p w:rsidR="00AD5AC9" w:rsidRDefault="00AD52EE">
      <w:pPr>
        <w:pStyle w:val="FirstParagraph"/>
      </w:pPr>
      <w:r>
        <w:t xml:space="preserve">Our model estimates two parameters of interest for each GSS item: </w:t>
      </w:r>
      <m:oMath>
        <m:r>
          <w:rPr>
            <w:rFonts w:ascii="Cambria Math" w:hAnsi="Cambria Math"/>
          </w:rPr>
          <m:t>β</m:t>
        </m:r>
      </m:oMath>
      <w:r>
        <w:t xml:space="preserve">, our measure of consistency, captures how well any combination of previous waves predicts a person’s response at wave 3. High values of </w:t>
      </w:r>
      <m:oMath>
        <m:r>
          <w:rPr>
            <w:rFonts w:ascii="Cambria Math" w:hAnsi="Cambria Math"/>
          </w:rPr>
          <m:t>β</m:t>
        </m:r>
      </m:oMath>
      <w:r>
        <w:t xml:space="preserve"> indicate that individuals are relatively consistent in their responses, once we control for the amount of active updating. </w:t>
      </w:r>
      <m:oMath>
        <m:r>
          <w:rPr>
            <w:rFonts w:ascii="Cambria Math" w:hAnsi="Cambria Math"/>
          </w:rPr>
          <m:t>ϕ</m:t>
        </m:r>
      </m:oMath>
      <w:r>
        <w:t xml:space="preserve"> is our measure of active updating and captures the relative proportion of wave 3 variance predicted by wave 2. If responses are generated through a settled dispositions model, then </w:t>
      </w:r>
      <m:oMath>
        <m:r>
          <w:rPr>
            <w:rFonts w:ascii="Cambria Math" w:hAnsi="Cambria Math"/>
          </w:rPr>
          <m:t>ϕ</m:t>
        </m:r>
      </m:oMath>
      <w:r>
        <w:t xml:space="preserve"> will be .5 (i.e., both wave 1 and wave 2 are equally good predictors of wave 3). As the evidence of active updating increases, </w:t>
      </w:r>
      <m:oMath>
        <m:r>
          <w:rPr>
            <w:rFonts w:ascii="Cambria Math" w:hAnsi="Cambria Math"/>
          </w:rPr>
          <m:t>ϕ</m:t>
        </m:r>
      </m:oMath>
      <w:r>
        <w:t xml:space="preserve"> will increase toward 1. Both </w:t>
      </w:r>
      <m:oMath>
        <m:r>
          <w:rPr>
            <w:rFonts w:ascii="Cambria Math" w:hAnsi="Cambria Math"/>
          </w:rPr>
          <m:t>ϕ</m:t>
        </m:r>
      </m:oMath>
      <w:r>
        <w:t xml:space="preserve"> and </w:t>
      </w:r>
      <m:oMath>
        <m:r>
          <w:rPr>
            <w:rFonts w:ascii="Cambria Math" w:hAnsi="Cambria Math"/>
          </w:rPr>
          <m:t>β</m:t>
        </m:r>
      </m:oMath>
      <w:r>
        <w:t xml:space="preserve"> equaling 1 would indicate that all individuals who changed </w:t>
      </w:r>
      <w:r>
        <w:lastRenderedPageBreak/>
        <w:t>between waves 1 and 2 persisted in their change, that an item was measured with no measurement error, and there was no additional change between waves 2 and 3.</w:t>
      </w:r>
    </w:p>
    <w:p w:rsidR="00AD5AC9" w:rsidRDefault="00AD52EE">
      <w:pPr>
        <w:pStyle w:val="Heading2"/>
      </w:pPr>
      <w:bookmarkStart w:id="17" w:name="evidence-for-active-updating"/>
      <w:r>
        <w:t>Evidence for Active Updating</w:t>
      </w:r>
      <w:bookmarkEnd w:id="17"/>
    </w:p>
    <w:p w:rsidR="00AD5AC9" w:rsidRDefault="00AD52EE">
      <w:pPr>
        <w:pStyle w:val="FirstParagraph"/>
      </w:pPr>
      <w:r>
        <w:t xml:space="preserve">To evaluate the evidence in favor of the active updating model, we compare for all 184 items the Bayesian Information Criteria (BIC) of a model with a free estimate of </w:t>
      </w:r>
      <m:oMath>
        <m:r>
          <w:rPr>
            <w:rFonts w:ascii="Cambria Math" w:hAnsi="Cambria Math"/>
          </w:rPr>
          <m:t>ϕ</m:t>
        </m:r>
      </m:oMath>
      <w:r>
        <w:t xml:space="preserve"> to a model that constrains </w:t>
      </w:r>
      <m:oMath>
        <m:r>
          <w:rPr>
            <w:rFonts w:ascii="Cambria Math" w:hAnsi="Cambria Math"/>
          </w:rPr>
          <m:t>ϕ=.5</m:t>
        </m:r>
      </m:oMath>
      <w:r>
        <w:t>. If the model with the constraint is preferred, then there is no evidence that respondents engage in an active updating process with respect to that item.</w:t>
      </w:r>
    </w:p>
    <w:p w:rsidR="00AD5AC9" w:rsidRDefault="00AD52EE">
      <w:pPr>
        <w:pStyle w:val="BodyText"/>
      </w:pPr>
      <w:r>
        <w:t xml:space="preserve">Figure 2 plots the distribution of </w:t>
      </w:r>
      <m:oMath>
        <m:r>
          <w:rPr>
            <w:rFonts w:ascii="Cambria Math" w:hAnsi="Cambria Math"/>
          </w:rPr>
          <m:t>ϕ</m:t>
        </m:r>
      </m:oMath>
      <w:r>
        <w:t xml:space="preserve"> estimates for the 184 items evaluated in this analysis and the posterior probabilities that the model without the constraint fits the data better, generated by comparing the BIC from models with and without the constraint.</w:t>
      </w:r>
    </w:p>
    <w:p w:rsidR="00070DDA" w:rsidRPr="00070DDA" w:rsidRDefault="00070DDA" w:rsidP="00070DDA">
      <w:pPr>
        <w:pStyle w:val="BodyText"/>
        <w:ind w:firstLine="0"/>
        <w:jc w:val="center"/>
        <w:rPr>
          <w:i/>
          <w:iCs/>
        </w:rPr>
      </w:pPr>
      <w:r>
        <w:rPr>
          <w:i/>
          <w:iCs/>
        </w:rPr>
        <w:t>[Figure 2 goes here]</w:t>
      </w:r>
    </w:p>
    <w:p w:rsidR="00AD5AC9" w:rsidRDefault="00AD52EE">
      <w:pPr>
        <w:pStyle w:val="BodyText"/>
      </w:pPr>
      <w:r>
        <w:t xml:space="preserve">On the left side of the figure, we see that the majority of </w:t>
      </w:r>
      <m:oMath>
        <m:r>
          <w:rPr>
            <w:rFonts w:ascii="Cambria Math" w:hAnsi="Cambria Math"/>
          </w:rPr>
          <m:t>ϕ</m:t>
        </m:r>
      </m:oMath>
      <w:r>
        <w:t xml:space="preserve"> 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rsidR="00AD5AC9" w:rsidRDefault="00AD52EE">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 “yes” or “no.” This produces a </w:t>
      </w:r>
      <m:oMath>
        <m:r>
          <w:rPr>
            <w:rFonts w:ascii="Cambria Math" w:hAnsi="Cambria Math"/>
          </w:rPr>
          <m:t>ϕ</m:t>
        </m:r>
      </m:oMath>
      <w:r>
        <w:t xml:space="preserve"> estimate of 0.62, above the 75th percentile of all </w:t>
      </w:r>
      <m:oMath>
        <m:r>
          <w:rPr>
            <w:rFonts w:ascii="Cambria Math" w:hAnsi="Cambria Math"/>
          </w:rPr>
          <m:t>ϕ</m:t>
        </m:r>
      </m:oMath>
      <w:r>
        <w:t xml:space="preserve"> 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t>
      </w:r>
      <w:r>
        <w:lastRenderedPageBreak/>
        <w:t>waves 1 and 2 maintained the same response at wave 3. Therefore, we only have evidence that about 18 individuals (less than one percent of the sample) showed evidence of persisting change. In other words, even for items that show strong evidence of active updating, the overall rate of attitude change in the population is likely small.</w:t>
      </w:r>
    </w:p>
    <w:p w:rsidR="00AD5AC9" w:rsidRDefault="00AD52EE">
      <w:pPr>
        <w:pStyle w:val="BodyText"/>
      </w:pPr>
      <w:r>
        <w:t>The right side of Figure 2 shows that although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rsidR="00AD5AC9" w:rsidRDefault="00AD52EE">
      <w:pPr>
        <w:pStyle w:val="BodyText"/>
      </w:pPr>
      <w:r>
        <w:t>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meaning that for almost all items, measurement error or non-persistent change tends to be much more common than persistent change. We can only be really confident in detecting persistent change among a small minority of items, perhaps 1 in 5. This means that most of the “change” that shows up in the GSS panels reflects some combination of measurement error or non-persistent change.</w:t>
      </w:r>
    </w:p>
    <w:p w:rsidR="00AD5AC9" w:rsidRDefault="00AD52EE">
      <w:pPr>
        <w:pStyle w:val="Heading2"/>
      </w:pPr>
      <w:bookmarkStart w:id="18" w:name="age-heterogeneity"/>
      <w:r>
        <w:t>Age Heterogeneity</w:t>
      </w:r>
      <w:bookmarkEnd w:id="18"/>
    </w:p>
    <w:p w:rsidR="00AD5AC9" w:rsidRDefault="00AD52EE">
      <w:pPr>
        <w:pStyle w:val="FirstParagraph"/>
      </w:pPr>
      <w:r>
        <w:t xml:space="preserve">Our second research question asks whether there is evidence that younger respondents are updating their views more than older respondents. Although it’s impossible to determine what </w:t>
      </w:r>
      <w:r>
        <w:lastRenderedPageBreak/>
        <w:t>proportion of people are following each data-generating process, it is possible to compare the age distribution of evidence for updating in each item.</w:t>
      </w:r>
    </w:p>
    <w:p w:rsidR="00AD5AC9" w:rsidRDefault="00AD52EE">
      <w:pPr>
        <w:pStyle w:val="BodyText"/>
      </w:pPr>
      <w:r>
        <w:t>Of the 111 items that showed evidence for active updating in the last section, 23 showed differential effects of age for more than 50 percent of cutoff ages we tested, meaning the majority did not. Figure 3 plots the estimates of these 23 items for individuals above 30 and individuals equal to or below 30 to get a sense of the magnitude of difference between older and younger individuals on these items.</w:t>
      </w:r>
    </w:p>
    <w:p w:rsidR="00070DDA" w:rsidRPr="00070DDA" w:rsidRDefault="00070DDA" w:rsidP="00070DDA">
      <w:pPr>
        <w:pStyle w:val="BodyText"/>
        <w:ind w:firstLine="0"/>
        <w:jc w:val="center"/>
        <w:rPr>
          <w:i/>
          <w:iCs/>
        </w:rPr>
      </w:pPr>
      <w:r>
        <w:rPr>
          <w:i/>
          <w:iCs/>
        </w:rPr>
        <w:t>[Figure 3 goes here]</w:t>
      </w:r>
    </w:p>
    <w:p w:rsidR="00AD5AC9" w:rsidRDefault="00AD52EE">
      <w:pPr>
        <w:pStyle w:val="BodyText"/>
      </w:pPr>
      <w:r>
        <w:t>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rsidR="00AD5AC9" w:rsidRDefault="00AD52EE">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people over 30. This suggests that these items follow an “impressionable years” pattern, where early adulthood is a time when these opinions are still malleable, but beliefs quickly harden into “durable dispositions” (Vaisey and Lizardo 2016; Krosnick and Alwin 1989; Alwin and Krosnick 1991). For other items, such as how important people believe it is for children to be popular and views on how much the government should spend on health care, </w:t>
      </w:r>
      <w:r>
        <w:lastRenderedPageBreak/>
        <w:t>there is still evidence of active updating in older individuals even though it is substantially less than for younger individuals. This pattern is consistent with the “increasing persistence” hypothesis, where attitude change gradually becomes less likely as individuals age (Glenn 1974; Inglehart and Baker 2000).</w:t>
      </w:r>
    </w:p>
    <w:p w:rsidR="00AD5AC9" w:rsidRDefault="00AD52EE">
      <w:pPr>
        <w:pStyle w:val="BodyText"/>
      </w:pPr>
      <w:r>
        <w:t xml:space="preserve">Eight of these items show a negative effect of being below the age cutoff on the </w:t>
      </w:r>
      <m:oMath>
        <m:r>
          <w:rPr>
            <w:rFonts w:ascii="Cambria Math" w:hAnsi="Cambria Math"/>
          </w:rPr>
          <m:t>ϕ</m:t>
        </m:r>
      </m:oMath>
      <w:r>
        <w:t xml:space="preserve"> value, meaning that younger people showed </w:t>
      </w:r>
      <w:r>
        <w:rPr>
          <w:i/>
        </w:rPr>
        <w:t>less</w:t>
      </w:r>
      <w:r>
        <w:t xml:space="preserve"> 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early in life. This pattern where older individuals change their attitudes and behaviors at higher rates than younger individuals is unanticipated in the attitude change literature (Visser and Krosnick 1998; Danigelis, Hardy, and Cutler 2007), and suggests greater heterogeneity in the relationship between age and attitude change than previously theorized.</w:t>
      </w:r>
    </w:p>
    <w:p w:rsidR="00AD5AC9" w:rsidRDefault="00AD52EE">
      <w:pPr>
        <w:pStyle w:val="BodyText"/>
      </w:pPr>
      <w:r>
        <w:t>The remaining 89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rsidR="00AD5AC9" w:rsidRDefault="00AD52EE">
      <w:pPr>
        <w:pStyle w:val="Heading2"/>
      </w:pPr>
      <w:bookmarkStart w:id="19" w:name="item-heterogeneity"/>
      <w:r>
        <w:t>Item heterogeneity</w:t>
      </w:r>
      <w:bookmarkEnd w:id="19"/>
    </w:p>
    <w:p w:rsidR="00AD5AC9" w:rsidRDefault="00AD52EE">
      <w:pPr>
        <w:pStyle w:val="FirstParagraph"/>
      </w:pPr>
      <w:r>
        <w:t xml:space="preserve">While there is a high proportion (40 percent) of items that show no evidence of active updating, and those that do show evidence tend to show only weak support for active updating, it is difficult with just these findings to draw any broad conclusions about how these results speak </w:t>
      </w:r>
      <w:r>
        <w:lastRenderedPageBreak/>
        <w:t>to theories of attitude development and change. Here we bring in our second dimension of attitude change, consistency in responses, to clarify the overall pattern.</w:t>
      </w:r>
    </w:p>
    <w:p w:rsidR="00AD5AC9" w:rsidRDefault="00AD52EE">
      <w:pPr>
        <w:pStyle w:val="BodyText"/>
      </w:pPr>
      <w:r>
        <w:t xml:space="preserve">Figure 4 plots the </w:t>
      </w:r>
      <m:oMath>
        <m:r>
          <w:rPr>
            <w:rFonts w:ascii="Cambria Math" w:hAnsi="Cambria Math"/>
          </w:rPr>
          <m:t>ϕ</m:t>
        </m:r>
      </m:oMath>
      <w:r>
        <w:t xml:space="preserve"> and </w:t>
      </w:r>
      <m:oMath>
        <m:r>
          <w:rPr>
            <w:rFonts w:ascii="Cambria Math" w:hAnsi="Cambria Math"/>
          </w:rPr>
          <m:t>β</m:t>
        </m:r>
      </m:oMath>
      <w:r>
        <w:t xml:space="preserve"> estimates for items shaded by whether they preferred the </w:t>
      </w:r>
      <m:oMath>
        <m:r>
          <w:rPr>
            <w:rFonts w:ascii="Cambria Math" w:hAnsi="Cambria Math"/>
          </w:rPr>
          <m:t>ϕ=.5</m:t>
        </m:r>
      </m:oMath>
      <w:r>
        <w:t xml:space="preserve"> constraint or not and label a few items that stand out. Items tend to prefer the </w:t>
      </w:r>
      <m:oMath>
        <m:r>
          <w:rPr>
            <w:rFonts w:ascii="Cambria Math" w:hAnsi="Cambria Math"/>
          </w:rPr>
          <m:t>ϕ=0.5</m:t>
        </m:r>
      </m:oMath>
      <w:r>
        <w:t xml:space="preserve"> constraint for a combination of two reasons: because wave 1 and wave 2 have equal predictive power (</w:t>
      </w:r>
      <m:oMath>
        <m:r>
          <w:rPr>
            <w:rFonts w:ascii="Cambria Math" w:hAnsi="Cambria Math"/>
          </w:rPr>
          <m:t>ϕ</m:t>
        </m:r>
      </m:oMath>
      <w:r>
        <w:t xml:space="preserve"> is close to .5) or because the measure is so unpredictable (</w:t>
      </w:r>
      <m:oMath>
        <m:r>
          <w:rPr>
            <w:rFonts w:ascii="Cambria Math" w:hAnsi="Cambria Math"/>
          </w:rPr>
          <m:t>β</m:t>
        </m:r>
      </m:oMath>
      <w:r>
        <w:t xml:space="preserve"> is low) that neither wave 1 nor wave 2 has much predictive power, making any observed active updating close to meaningless.</w:t>
      </w:r>
    </w:p>
    <w:p w:rsidR="00AD5AC9" w:rsidRDefault="00AD52EE">
      <w:pPr>
        <w:pStyle w:val="BodyText"/>
      </w:pPr>
      <w:r>
        <w:t xml:space="preserve">Items showing evidence for active updating tend to have </w:t>
      </w:r>
      <m:oMath>
        <m:r>
          <w:rPr>
            <w:rFonts w:ascii="Cambria Math" w:hAnsi="Cambria Math"/>
          </w:rPr>
          <m:t>ϕ</m:t>
        </m:r>
      </m:oMath>
      <w:r>
        <w:t xml:space="preserve"> estimates greater than .55, and most have </w:t>
      </w:r>
      <m:oMath>
        <m:r>
          <w:rPr>
            <w:rFonts w:ascii="Cambria Math" w:hAnsi="Cambria Math"/>
          </w:rPr>
          <m:t>β</m:t>
        </m:r>
      </m:oMath>
      <w:r>
        <w:t xml:space="preserve"> estimates greater than .6. A small group of variables, including confidence in the leadership of the executive branch of the federal government have low </w:t>
      </w:r>
      <m:oMath>
        <m:r>
          <w:rPr>
            <w:rFonts w:ascii="Cambria Math" w:hAnsi="Cambria Math"/>
          </w:rPr>
          <m:t>β</m:t>
        </m:r>
      </m:oMath>
      <w:r>
        <w:t xml:space="preserve"> estimates, meaning that prediction at wave 3 is difficult, but have large </w:t>
      </w:r>
      <m:oMath>
        <m:r>
          <w:rPr>
            <w:rFonts w:ascii="Cambria Math" w:hAnsi="Cambria Math"/>
          </w:rPr>
          <m:t>ϕ</m:t>
        </m:r>
      </m:oMath>
      <w:r>
        <w:t xml:space="preserve"> estimates, meaning that wave 2 is still a better predictor than wave 1.</w:t>
      </w:r>
    </w:p>
    <w:p w:rsidR="00AD5AC9" w:rsidRDefault="00AD52EE">
      <w:pPr>
        <w:pStyle w:val="BodyText"/>
      </w:pPr>
      <w:r>
        <w:t xml:space="preserve">Which items show the strongest evidence for active updating? There is no way we can possibly discuss all 184 items in detail without the discussion becoming tedious. Although we include </w:t>
      </w:r>
      <m:oMath>
        <m:r>
          <w:rPr>
            <w:rFonts w:ascii="Cambria Math" w:hAnsi="Cambria Math"/>
          </w:rPr>
          <m:t>ϕ</m:t>
        </m:r>
      </m:oMath>
      <w:r>
        <w:t xml:space="preserve"> estimates for all items in Appendix A, Figure 5 summarizes the distributions of </w:t>
      </w:r>
      <m:oMath>
        <m:r>
          <w:rPr>
            <w:rFonts w:ascii="Cambria Math" w:hAnsi="Cambria Math"/>
          </w:rPr>
          <m:t>ϕ</m:t>
        </m:r>
      </m:oMath>
      <w:r>
        <w:t xml:space="preserve"> by the content of the question. We constrain items that showed no evidence of active updating to </w:t>
      </w:r>
      <m:oMath>
        <m:r>
          <w:rPr>
            <w:rFonts w:ascii="Cambria Math" w:hAnsi="Cambria Math"/>
          </w:rPr>
          <m:t>ϕ=.5</m:t>
        </m:r>
      </m:oMath>
      <w:r>
        <w:t>. In addition to showing the median and interquartile range of each distribution, the figure also highlights the item in each group that shows the greatest degree of evidence for active updating.</w:t>
      </w:r>
    </w:p>
    <w:p w:rsidR="00070DDA" w:rsidRPr="00070DDA" w:rsidRDefault="00070DDA" w:rsidP="00070DDA">
      <w:pPr>
        <w:pStyle w:val="BodyText"/>
        <w:ind w:firstLine="0"/>
        <w:jc w:val="center"/>
        <w:rPr>
          <w:i/>
          <w:iCs/>
        </w:rPr>
      </w:pPr>
      <w:r>
        <w:rPr>
          <w:i/>
          <w:iCs/>
        </w:rPr>
        <w:t>[Figure 5 goes here]</w:t>
      </w:r>
    </w:p>
    <w:p w:rsidR="00AD5AC9" w:rsidRDefault="00AD52EE">
      <w:pPr>
        <w:pStyle w:val="BodyText"/>
      </w:pPr>
      <w:r>
        <w:t xml:space="preserve">There is a lot to process, even in this summary figure. The main takeaway is that, even for items that show some evidence for active updating, the values of </w:t>
      </w:r>
      <m:oMath>
        <m:r>
          <w:rPr>
            <w:rFonts w:ascii="Cambria Math" w:hAnsi="Cambria Math"/>
          </w:rPr>
          <m:t>ϕ</m:t>
        </m:r>
      </m:oMath>
      <w:r>
        <w:t xml:space="preserve"> are still quite low in </w:t>
      </w:r>
      <w:r>
        <w:lastRenderedPageBreak/>
        <w:t xml:space="preserve">absolute terms. Only two groups of items have median </w:t>
      </w:r>
      <m:oMath>
        <m:r>
          <w:rPr>
            <w:rFonts w:ascii="Cambria Math" w:hAnsi="Cambria Math"/>
          </w:rPr>
          <m:t>ϕ</m:t>
        </m:r>
      </m:oMath>
      <w:r>
        <w:t xml:space="preserve"> values above 0.6: public spending and religious activity. In general, then, it is accurate to say that most of the “change” measured by the GSS is not persistent but some combination of measurement error and short-term fluctuations.</w:t>
      </w:r>
      <w:r>
        <w:rPr>
          <w:rStyle w:val="FootnoteReference"/>
        </w:rPr>
        <w:footnoteReference w:id="2"/>
      </w:r>
    </w:p>
    <w:p w:rsidR="00AD5AC9" w:rsidRDefault="00AD52EE">
      <w:pPr>
        <w:pStyle w:val="BodyText"/>
      </w:pPr>
      <w:r>
        <w:t>Consistent with the findings of Vaisey and Lizardo (2016),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 “core” 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rsidR="00AD5AC9" w:rsidRDefault="00AD52EE">
      <w:pPr>
        <w:pStyle w:val="BodyText"/>
      </w:pPr>
      <w:r>
        <w:t xml:space="preserve">There are several exceptions to this general pattern, however, even in categories with otherwise low </w:t>
      </w:r>
      <m:oMath>
        <m:r>
          <w:rPr>
            <w:rFonts w:ascii="Cambria Math" w:hAnsi="Cambria Math"/>
          </w:rPr>
          <m:t>ϕ</m:t>
        </m:r>
      </m:oMath>
      <w:r>
        <w:t xml:space="preserve"> values. The items with the largest values generally have one or more attributes in common. We consider these attributes to give some general impressions of the pattern.</w:t>
      </w:r>
    </w:p>
    <w:p w:rsidR="00AD5AC9" w:rsidRDefault="00AD52EE">
      <w:pPr>
        <w:pStyle w:val="BodyText"/>
      </w:pPr>
      <w:r>
        <w:t>Some of the high-</w:t>
      </w:r>
      <m:oMath>
        <m:r>
          <w:rPr>
            <w:rFonts w:ascii="Cambria Math" w:hAnsi="Cambria Math"/>
          </w:rPr>
          <m:t>ϕ</m:t>
        </m:r>
      </m:oMath>
      <w:r>
        <w:t xml:space="preserve"> items rely on </w:t>
      </w:r>
      <w:r>
        <w:rPr>
          <w:i/>
        </w:rPr>
        <w:t>external mechanisms</w:t>
      </w:r>
      <w:r>
        <w:t xml:space="preserve"> that help maintain them, perhaps making changes “stickier” than forms of personal culture. If a person starts going to church or starts socializing with friends at a bar, she builds social networks that make this behavior more </w:t>
      </w:r>
      <w:r>
        <w:lastRenderedPageBreak/>
        <w:t xml:space="preserve">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 </w:t>
      </w:r>
      <m:oMath>
        <m:r>
          <w:rPr>
            <w:rFonts w:ascii="Cambria Math" w:hAnsi="Cambria Math"/>
          </w:rPr>
          <m:t>ϕ</m:t>
        </m:r>
      </m:oMath>
      <w:r>
        <w:t xml:space="preserve"> value because a new physical object either enters or leaves the person’s possession. Questions about religious activity, identity and (to a lesser extent) religious beliefs generally show some evidence for active updating. In some cases, this fits with the general pattern of external mechanisms (e.g., attendance and identification are largely public acts).</w:t>
      </w:r>
    </w:p>
    <w:p w:rsidR="00AD5AC9" w:rsidRDefault="00AD52EE">
      <w:pPr>
        <w:pStyle w:val="BodyText"/>
      </w:pPr>
      <w:r>
        <w:t>Other high-</w:t>
      </w:r>
      <m:oMath>
        <m:r>
          <w:rPr>
            <w:rFonts w:ascii="Cambria Math" w:hAnsi="Cambria Math"/>
          </w:rPr>
          <m:t>ϕ</m:t>
        </m:r>
      </m:oMath>
      <w:r>
        <w:t xml:space="preserve"> items have a </w:t>
      </w:r>
      <w:r>
        <w:rPr>
          <w:i/>
        </w:rPr>
        <w:t>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 </w:t>
      </w:r>
      <m:oMath>
        <m:r>
          <w:rPr>
            <w:rFonts w:ascii="Cambria Math" w:hAnsi="Cambria Math"/>
          </w:rPr>
          <m:t>ϕ</m:t>
        </m:r>
      </m:oMath>
      <w:r>
        <w:t xml:space="preserve"> value of all items in the analysis). The president changed between the 2008 and 2010 waves of the GSS, meaning that the question no longer referred to the same administration. If we generate estimates for this item for each of the three panels (2006-10, 2008-12, and 2010-14) for the “confidence in the leadership of the executive branch of the federal government” item, it is only for the middle panel (2008-12), where the president changed between waves 1 and 2, that shows significant evidence of persistent change (</w:t>
      </w:r>
      <m:oMath>
        <m:r>
          <w:rPr>
            <w:rFonts w:ascii="Cambria Math" w:hAnsi="Cambria Math"/>
          </w:rPr>
          <m:t>ϕ=.95</m:t>
        </m:r>
      </m:oMath>
      <w:r>
        <w:t xml:space="preserve">, </w:t>
      </w:r>
      <m:oMath>
        <m:r>
          <w:rPr>
            <w:rFonts w:ascii="Cambria Math" w:hAnsi="Cambria Math"/>
          </w:rPr>
          <m:t>β=.51</m:t>
        </m:r>
      </m:oMath>
      <w:r>
        <w:t>). In the 2006-10 panel, waves 1 and 2 have almost no predictive power (</w:t>
      </w:r>
      <m:oMath>
        <m:r>
          <w:rPr>
            <w:rFonts w:ascii="Cambria Math" w:hAnsi="Cambria Math"/>
          </w:rPr>
          <m:t>β=.10</m:t>
        </m:r>
      </m:oMath>
      <w:r>
        <w:t xml:space="preserve">). For the 2010-14 panel, which takes place entirely during the Obama administration, </w:t>
      </w:r>
      <m:oMath>
        <m:r>
          <w:rPr>
            <w:rFonts w:ascii="Cambria Math" w:hAnsi="Cambria Math"/>
          </w:rPr>
          <m:t>ϕ</m:t>
        </m:r>
      </m:oMath>
      <w:r>
        <w:t xml:space="preserve"> moves much closer to .5 and predictive power increases (</w:t>
      </w:r>
      <m:oMath>
        <m:r>
          <w:rPr>
            <w:rFonts w:ascii="Cambria Math" w:hAnsi="Cambria Math"/>
          </w:rPr>
          <m:t>ϕ=.57</m:t>
        </m:r>
      </m:oMath>
      <w:r>
        <w:t xml:space="preserve">, </w:t>
      </w:r>
      <m:oMath>
        <m:r>
          <w:rPr>
            <w:rFonts w:ascii="Cambria Math" w:hAnsi="Cambria Math"/>
          </w:rPr>
          <m:t>β=.65</m:t>
        </m:r>
      </m:oMath>
      <w:r>
        <w:t>).</w:t>
      </w:r>
    </w:p>
    <w:p w:rsidR="00AD5AC9" w:rsidRDefault="00AD52EE">
      <w:pPr>
        <w:pStyle w:val="BodyText"/>
      </w:pPr>
      <w:r>
        <w:t xml:space="preserve">Likewise, all public spending items refer to whether we’re spending “too much, too little, or the right amount” on different areas. The change of administration and changing federal </w:t>
      </w:r>
      <w:r>
        <w:lastRenderedPageBreak/>
        <w:t>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rsidR="00AD5AC9" w:rsidRDefault="00AD52EE">
      <w:pPr>
        <w:pStyle w:val="BodyText"/>
      </w:pPr>
      <w:r>
        <w:t xml:space="preserve">Perhaps the most striking pattern in our findings pertains to questions about </w:t>
      </w:r>
      <w:r>
        <w:rPr>
          <w:i/>
        </w:rPr>
        <w:t>gay rights</w:t>
      </w:r>
      <w:r>
        <w:t>.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strongly consistent with Zaller’s (1992) argument that highly salient issues where elite opinion shifts can lead to large changes in public opinion.</w:t>
      </w:r>
    </w:p>
    <w:p w:rsidR="00AD5AC9" w:rsidRDefault="00AD52EE">
      <w:pPr>
        <w:pStyle w:val="BodyText"/>
      </w:pPr>
      <w:r>
        <w:t>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rsidR="00AD5AC9" w:rsidRDefault="00AD52EE">
      <w:pPr>
        <w:pStyle w:val="Heading2"/>
      </w:pPr>
      <w:bookmarkStart w:id="20" w:name="political-beliefs"/>
      <w:r>
        <w:t>Political Beliefs</w:t>
      </w:r>
      <w:bookmarkEnd w:id="20"/>
    </w:p>
    <w:p w:rsidR="00AD5AC9" w:rsidRDefault="00AD52EE">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 6 plots the </w:t>
      </w:r>
      <m:oMath>
        <m:r>
          <w:rPr>
            <w:rFonts w:ascii="Cambria Math" w:hAnsi="Cambria Math"/>
          </w:rPr>
          <m:t>ϕ</m:t>
        </m:r>
      </m:oMath>
      <w:r>
        <w:t xml:space="preserve"> and </w:t>
      </w:r>
      <m:oMath>
        <m:r>
          <w:rPr>
            <w:rFonts w:ascii="Cambria Math" w:hAnsi="Cambria Math"/>
          </w:rPr>
          <m:t>β</m:t>
        </m:r>
      </m:oMath>
      <w:r>
        <w:t xml:space="preserve"> estimates for questions about political identity, the role of government, and specific policies. We break these items up into categories and remove a few items for ease of viewing.</w:t>
      </w:r>
    </w:p>
    <w:p w:rsidR="00070DDA" w:rsidRPr="00070DDA" w:rsidRDefault="00070DDA" w:rsidP="00070DDA">
      <w:pPr>
        <w:pStyle w:val="BodyText"/>
        <w:ind w:firstLine="0"/>
        <w:jc w:val="center"/>
        <w:rPr>
          <w:i/>
          <w:iCs/>
        </w:rPr>
      </w:pPr>
      <w:r>
        <w:rPr>
          <w:i/>
          <w:iCs/>
        </w:rPr>
        <w:t>[Figure 6 goes here]</w:t>
      </w:r>
    </w:p>
    <w:p w:rsidR="00AD5AC9" w:rsidRDefault="00AD52EE">
      <w:pPr>
        <w:pStyle w:val="BodyText"/>
      </w:pPr>
      <w:r>
        <w:lastRenderedPageBreak/>
        <w:t>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 “Political views” in the figure) and general views of the role of government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rsidR="00AD5AC9" w:rsidRDefault="00AD52EE">
      <w:pPr>
        <w:pStyle w:val="BodyText"/>
      </w:pPr>
      <w:r>
        <w:t>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 (Schnabel and Sevell 2017). Our findings suggest that, at least in recent years, many individuals have changed their views on gay marriage, but changing views on marijuana use have been driven primarily by cohort replacement.</w:t>
      </w:r>
    </w:p>
    <w:p w:rsidR="00AD5AC9" w:rsidRDefault="00AD52EE">
      <w:pPr>
        <w:pStyle w:val="Heading1"/>
      </w:pPr>
      <w:bookmarkStart w:id="21" w:name="discussion-and-conclusions"/>
      <w:r>
        <w:lastRenderedPageBreak/>
        <w:t>Discussion and Conclusions</w:t>
      </w:r>
      <w:bookmarkEnd w:id="21"/>
    </w:p>
    <w:p w:rsidR="00AD5AC9" w:rsidRDefault="00AD52EE">
      <w:pPr>
        <w:pStyle w:val="FirstParagraph"/>
      </w:pPr>
      <w:r>
        <w:t>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rsidR="00AD5AC9" w:rsidRDefault="00AD52EE">
      <w:pPr>
        <w:pStyle w:val="BodyText"/>
      </w:pPr>
      <w:r>
        <w:t xml:space="preserve">First, </w:t>
      </w:r>
      <w:r>
        <w:rPr>
          <w:i/>
        </w:rPr>
        <w:t>to what extent are patterns of cultural change generally better described by an active updating model or a settled dispositions model?</w:t>
      </w:r>
      <w:r>
        <w:t xml:space="preserve"> 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change in the population is likely low. Adult Americans are highly consistent in their attitudes from year to year, and those who appear to change tend to bounce back to a stable baseline.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rsidR="00AD5AC9" w:rsidRDefault="00AD52EE">
      <w:pPr>
        <w:pStyle w:val="BodyText"/>
      </w:pPr>
      <w:r>
        <w:t xml:space="preserve">Second, </w:t>
      </w:r>
      <w:r>
        <w:rPr>
          <w:i/>
        </w:rPr>
        <w:t>is there evidence that younger respondents are doing more active updating than older respondents?</w:t>
      </w:r>
      <w:r>
        <w:t xml:space="preserve"> For a limited subset of items, there seems to be evidence that younger respondents are updating their views whereas older respondents are not. This is consistent with a “cohortization” model that views young respondents as susceptible to updating shocks and older </w:t>
      </w:r>
      <w:r>
        <w:lastRenderedPageBreak/>
        <w:t>respondents as relatively insensitive to such shocks (see e.g., Bartels and Jackman 2014). Because the GSS begins with 18-year-olds, we may lack power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rsidR="00AD5AC9" w:rsidRDefault="00AD52EE">
      <w:pPr>
        <w:pStyle w:val="BodyText"/>
      </w:pPr>
      <w:r>
        <w:t xml:space="preserve">Third, </w:t>
      </w:r>
      <w:r>
        <w:rPr>
          <w:i/>
        </w:rPr>
        <w:t>are there systematic differences in item content between questions that are better described by each model?</w:t>
      </w:r>
      <w:r>
        <w:t xml:space="preserve"> 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Items assumed to be “peripheral” 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rsidR="00AD5AC9" w:rsidRDefault="00AD52EE">
      <w:pPr>
        <w:pStyle w:val="BodyText"/>
      </w:pPr>
      <w:bookmarkStart w:id="22" w:name="_GoBack"/>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w:t>
      </w:r>
      <w:r>
        <w:lastRenderedPageBreak/>
        <w:t>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bookmarkEnd w:id="22"/>
    <w:p w:rsidR="00AD5AC9" w:rsidRDefault="00AD52EE">
      <w:pPr>
        <w:pStyle w:val="BodyText"/>
      </w:pPr>
      <w:r>
        <w:t>The overall pattern of results, while diverse and at times hard to reconcile, does shed light on several theoretical debates. We now consider these implications.</w:t>
      </w:r>
    </w:p>
    <w:p w:rsidR="00AD5AC9" w:rsidRDefault="00AD52EE">
      <w:pPr>
        <w:pStyle w:val="Heading2"/>
      </w:pPr>
      <w:bookmarkStart w:id="23" w:name="implications-for-cultural-sociology"/>
      <w:r>
        <w:t>Implications for Cultural Sociology</w:t>
      </w:r>
      <w:bookmarkEnd w:id="23"/>
    </w:p>
    <w:p w:rsidR="00AD5AC9" w:rsidRDefault="00AD52EE">
      <w:pPr>
        <w:pStyle w:val="FirstParagraph"/>
      </w:pPr>
      <w:r>
        <w:t>What are the broader implications of these findings, both for theories of cultural change and for empirical work in this area? 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for those items that did display strong evidence for active updating (e.g. “whites rich or poor” and “whites work hard”) were still hard to predict wave after wave.</w:t>
      </w:r>
    </w:p>
    <w:p w:rsidR="00AD5AC9" w:rsidRDefault="00AD52EE">
      <w:pPr>
        <w:pStyle w:val="BodyText"/>
      </w:pPr>
      <w:r>
        <w:t xml:space="preserve">The overall pattern of results suggests that one reason attitudes are largely stable is because most issues simply do not reach the kind of salience necessary to shift people’s opinions. In contrast to other beliefs, the pattern of findings for gay rights show that a high degree of public salience and social movements can accelerate change by encouraging people to update their views. By definition, salience is a limited resource, meaning only a few beliefs and </w:t>
      </w:r>
      <w:r>
        <w:lastRenderedPageBreak/>
        <w:t>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 “conditions of past production” rather than processes of active meaning construction with little long-term memory.</w:t>
      </w:r>
    </w:p>
    <w:p w:rsidR="00AD5AC9" w:rsidRDefault="00AD52EE">
      <w:pPr>
        <w:pStyle w:val="BodyText"/>
      </w:pPr>
      <w:r>
        <w:t>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 (Alwin and Krosnick 1991; Visser and Krosnick 1998). An additional view, the “life stages” hypothesis, suggests a similar pattern with a surge in attitude change late in life (Visser and Krosnick 1998).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rsidR="00AD5AC9" w:rsidRDefault="00AD52EE">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This pattern suggests that the salience of an issue can matter at the individual level, as well as the societal level. Rather than supporting a single theory linking age to attitude change, our results call for more work linking attitude content to social factors and institutional norms that encourage openness to change at different ages. Rather than assuming that “attitudes” </w:t>
      </w:r>
      <w:r>
        <w:lastRenderedPageBreak/>
        <w:t>in general are more or less likely to change at particular ages, we should explore the relationship between age and stability for a range of attitudes. Doing so will expand our understanding of the institutional and developmental factors that that give rise to stable or variable attitudes (Howe and Krosnick 2017). Recent work that has attempted to provide social explanations for (mostly political) attitude stability in middle age is an important step in that direction (Eaton et al. 2009; Visser and Mirabile 2004).</w:t>
      </w:r>
    </w:p>
    <w:p w:rsidR="00AD5AC9" w:rsidRDefault="00AD52EE">
      <w:pPr>
        <w:pStyle w:val="Heading2"/>
      </w:pPr>
      <w:bookmarkStart w:id="24" w:name="implications-for-political-sociology"/>
      <w:r>
        <w:t>Implications for Political Sociology</w:t>
      </w:r>
      <w:bookmarkEnd w:id="24"/>
    </w:p>
    <w:p w:rsidR="00AD5AC9" w:rsidRDefault="00AD52EE">
      <w:pPr>
        <w:pStyle w:val="FirstParagraph"/>
      </w:pPr>
      <w:r>
        <w:t>A major takeaway of our analysis is that ideological identity (identity as a liberal or conservative, and the extremity of this identification) was in all practical terms stable for individuals over 30. These respondents might express different positions from wave to 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rsidR="00AD5AC9" w:rsidRDefault="00AD52EE">
      <w:pPr>
        <w:pStyle w:val="BodyText"/>
      </w:pPr>
      <w:r>
        <w:t xml:space="preserve">These results are consistent with theories that posit that, at least in the current era, individuals organize their beliefs around ideological identity (Boutyline and Vaisey 2017; </w:t>
      </w:r>
      <w:r>
        <w:lastRenderedPageBreak/>
        <w:t>Converse 1964), rather than some other organizing heuristic such as partisan identification, moral views, religion, or particular policy positions. It is also consistent with Baldassari and Gelman’s (2008) model of “partisans without constraint,” 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rsidR="00AD5AC9" w:rsidRDefault="00AD52EE">
      <w:pPr>
        <w:pStyle w:val="BodyText"/>
      </w:pPr>
      <w:r>
        <w:t>Similarly, our findings are not consistent with the idea that individuals adopt a partisan affiliation based on their social groupings and subsequently adjust their ideological commitments to conform to that (Green, Palmquist, and Schickler 2002). For this to be true, ideological identification and other political beliefs would have to demonstrate at least as much persistent change as partisan identification, which is simply not true in our data.</w:t>
      </w:r>
    </w:p>
    <w:p w:rsidR="00AD5AC9" w:rsidRDefault="00AD52EE">
      <w:pPr>
        <w:pStyle w:val="BodyText"/>
      </w:pPr>
      <w:r>
        <w:t xml:space="preserve">The finding that ideological identification is comparatively stable should not be taken to imply that most people in the population have the kind of tightly knit belief structures that political scientists typically call “ideologies.” Outside of a handful of high-profile political items such as partisan identity, abortion, and gay marriage, individuals appear to lack strong, clear opinions on most specific policy questions. The low degree of consistency in beliefs is consistent with the idea that people are “ideologically innocent” (Kinder and Kalmoe 2017). What we can </w:t>
      </w:r>
      <w:r>
        <w:lastRenderedPageBreak/>
        <w:t>say is that individuals over 30 in American during the period we studied did not make lasting changes in whether and how strongly they thought of themselves as “liberal” or “conservative.”</w:t>
      </w:r>
    </w:p>
    <w:p w:rsidR="00AD5AC9" w:rsidRDefault="00AD52EE">
      <w:pPr>
        <w:pStyle w:val="BodyText"/>
      </w:pPr>
      <w:r>
        <w:t xml:space="preserve">That said, respondents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 (1992) model of attitude formation, space exploration was not a high-profile issue in this time period, and we struggle to account for why this item exhibits a comparatively high </w:t>
      </w:r>
      <m:oMath>
        <m:r>
          <w:rPr>
            <w:rFonts w:ascii="Cambria Math" w:hAnsi="Cambria Math"/>
          </w:rPr>
          <m:t>β</m:t>
        </m:r>
      </m:oMath>
      <w:r>
        <w:t xml:space="preserve"> estimate.</w:t>
      </w:r>
    </w:p>
    <w:p w:rsidR="00AD5AC9" w:rsidRDefault="00AD52EE">
      <w:pPr>
        <w:pStyle w:val="BodyText"/>
      </w:pPr>
      <w:r>
        <w:t>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rsidR="00AD5AC9" w:rsidRDefault="00AD52EE">
      <w:pPr>
        <w:pStyle w:val="Heading2"/>
      </w:pPr>
      <w:bookmarkStart w:id="25" w:name="methodological-implications"/>
      <w:r>
        <w:t>Methodological Implications</w:t>
      </w:r>
      <w:bookmarkEnd w:id="25"/>
    </w:p>
    <w:p w:rsidR="00AD5AC9" w:rsidRDefault="00AD52EE">
      <w:pPr>
        <w:pStyle w:val="FirstParagraph"/>
      </w:pPr>
      <w:r>
        <w:t xml:space="preserve">Methodologically, our results highlight the challenges of evaluating population-wide attitude change using short-term panel studies. The evidence strongly suggests that most of what might be interpreted as “change” in the GSS panels is some combination of measurement error or non-persistent change. It does not matter whether measurement error or short-term change is the predominant driver behind this pattern; what matters is that change is too rare in a sample of </w:t>
      </w:r>
      <w:r>
        <w:lastRenderedPageBreak/>
        <w:t>adults to measure accurately on the vast majority of items. This strongly argues against using two-wave panels to measure attitude change, which do not allow researchers to separate persisting from non-persisting changes.</w:t>
      </w:r>
    </w:p>
    <w:p w:rsidR="00AD5AC9" w:rsidRDefault="00AD52EE">
      <w:pPr>
        <w:pStyle w:val="BodyText"/>
      </w:pPr>
      <w:r>
        <w:t>The fact that persistent change is practically nonexistent for many items bolsters the case for using repeated survey responses to measure the reliability of survey items (Alwin 2007; Hout and Hastings 2016),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rsidR="00AD5AC9" w:rsidRDefault="00AD52EE">
      <w:pPr>
        <w:pStyle w:val="BodyText"/>
      </w:pPr>
      <w:r>
        <w:t>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rsidR="00AD5AC9" w:rsidRDefault="00AD52EE">
      <w:pPr>
        <w:pStyle w:val="BodyText"/>
      </w:pPr>
      <w:r>
        <w:t xml:space="preserve">We believe the overall pattern of results we observe is more consistent with other theoretical models of belief change than those outlined by panel conditioning. We see too much </w:t>
      </w:r>
      <w:r>
        <w:lastRenderedPageBreak/>
        <w:t>inconsistency in responses to most questions for models of commitment bias to be a major explanatory factor. Items that we have theoretical reasons to suspect might succumb to the updating form of panel conditioning bias, such as questions where “respondents’ initial attitudes are less crystallized” (Warren and Halpern-Manners 2012: p. 499), questions that “increase respondents’ knowledge of the behavior and/or their motivation to engage in it” (Warren and Halpern-Manners 2012: p. 500), or questions that “induce respondents to provide socially non-normative or stigmatized responses” (Warren and Halpern-Manners 2012: p. 501), tend to show low active updating and low consistency.</w:t>
      </w:r>
    </w:p>
    <w:p w:rsidR="00AD5AC9" w:rsidRDefault="00AD52EE">
      <w:pPr>
        <w:pStyle w:val="BodyText"/>
      </w:pPr>
      <w:r>
        <w:t>We cannot (and would not want to) rule out the possibility that panel conditioning is taking place in the GSS. We believe it is worthwhile to explore these same GSS panels for evidence of panel conditioning. However, we do not believe that panel conditioning bias is the principal driver of the overall pattern of change and consistency we observe.</w:t>
      </w:r>
    </w:p>
    <w:p w:rsidR="00AD5AC9" w:rsidRDefault="00AD52EE">
      <w:pPr>
        <w:pStyle w:val="BodyText"/>
      </w:pPr>
      <w:r>
        <w:t>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useless. Those that are repeated should be specifically targeted to topics that are believed to be changing broadly (e.g., politics, gay rights). Understanding the social origins of individuals’ attitudes requires greater focus on the “conditions of past production” that give rise to persistent beliefs in adulthood.</w:t>
      </w:r>
    </w:p>
    <w:p w:rsidR="00AD5AC9" w:rsidRDefault="00AD52EE">
      <w:pPr>
        <w:pStyle w:val="Heading1"/>
      </w:pPr>
      <w:bookmarkStart w:id="26" w:name="appendix-a-phi-values-for-all-variables"/>
      <w:r>
        <w:lastRenderedPageBreak/>
        <w:t xml:space="preserve">Appendix A: </w:t>
      </w:r>
      <m:oMath>
        <m:r>
          <m:rPr>
            <m:sty m:val="bi"/>
          </m:rPr>
          <w:rPr>
            <w:rFonts w:ascii="Cambria Math" w:hAnsi="Cambria Math"/>
          </w:rPr>
          <m:t>ϕ</m:t>
        </m:r>
      </m:oMath>
      <w:r>
        <w:t xml:space="preserve"> values for all variables</w:t>
      </w:r>
      <w:bookmarkEnd w:id="26"/>
    </w:p>
    <w:p w:rsidR="00AD5AC9" w:rsidRDefault="00AD52EE">
      <w:pPr>
        <w:pStyle w:val="FirstParagraph"/>
      </w:pPr>
      <w:r>
        <w:t xml:space="preserve">Figures </w:t>
      </w:r>
      <w:r w:rsidR="00070DDA">
        <w:t>7</w:t>
      </w:r>
      <w:r>
        <w:t xml:space="preserve"> through </w:t>
      </w:r>
      <w:r w:rsidR="00070DDA">
        <w:t>10</w:t>
      </w:r>
      <w:r>
        <w:t xml:space="preserve"> plot </w:t>
      </w:r>
      <m:oMath>
        <m:r>
          <w:rPr>
            <w:rFonts w:ascii="Cambria Math" w:hAnsi="Cambria Math"/>
          </w:rPr>
          <m:t>ϕ</m:t>
        </m:r>
      </m:oMath>
      <w:r>
        <w:t xml:space="preserve"> estimates for all items included in the analysis, grouped by subject material.</w:t>
      </w:r>
    </w:p>
    <w:p w:rsidR="00070DDA" w:rsidRPr="00070DDA" w:rsidRDefault="00070DDA" w:rsidP="00070DDA">
      <w:pPr>
        <w:pStyle w:val="BodyText"/>
        <w:ind w:firstLine="0"/>
        <w:jc w:val="center"/>
        <w:rPr>
          <w:i/>
          <w:iCs/>
        </w:rPr>
      </w:pPr>
      <w:r>
        <w:rPr>
          <w:i/>
          <w:iCs/>
        </w:rPr>
        <w:t>[Figures 7-10 go here]</w:t>
      </w:r>
    </w:p>
    <w:p w:rsidR="00070DDA" w:rsidRPr="00070DDA" w:rsidRDefault="00070DDA" w:rsidP="00070DDA">
      <w:pPr>
        <w:pStyle w:val="BodyText"/>
      </w:pPr>
    </w:p>
    <w:p w:rsidR="00AD5AC9" w:rsidRDefault="00AD52EE">
      <w:pPr>
        <w:pStyle w:val="Heading1"/>
      </w:pPr>
      <w:bookmarkStart w:id="27" w:name="appendix-b-coarsened-variable-estimates"/>
      <w:r>
        <w:t>Appendix B: Coarsened variable estimates</w:t>
      </w:r>
      <w:bookmarkEnd w:id="27"/>
    </w:p>
    <w:p w:rsidR="00AD5AC9" w:rsidRDefault="00AD52EE">
      <w:pPr>
        <w:pStyle w:val="FirstParagraph"/>
      </w:pPr>
      <m:oMath>
        <m:r>
          <w:rPr>
            <w:rFonts w:ascii="Cambria Math" w:hAnsi="Cambria Math"/>
          </w:rPr>
          <m:t>ϕ</m:t>
        </m:r>
      </m:oMath>
      <w:r>
        <w:t xml:space="preserve"> estimates for coarsened items are presented in Figures </w:t>
      </w:r>
      <w:r w:rsidR="00070DDA">
        <w:t>11</w:t>
      </w:r>
      <w:r>
        <w:t xml:space="preserve"> through </w:t>
      </w:r>
      <w:r w:rsidR="00070DDA">
        <w:t>13</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 </w:t>
      </w:r>
      <m:oMath>
        <m:r>
          <w:rPr>
            <w:rFonts w:ascii="Cambria Math" w:hAnsi="Cambria Math"/>
          </w:rPr>
          <m:t>ϕ</m:t>
        </m:r>
      </m:oMath>
      <w:r>
        <w:t xml:space="preserve"> estimates of coarsened item should be higher than estimates for items with more response options.</w:t>
      </w:r>
    </w:p>
    <w:p w:rsidR="00070DDA" w:rsidRPr="00070DDA" w:rsidRDefault="00070DDA" w:rsidP="00070DDA">
      <w:pPr>
        <w:pStyle w:val="BodyText"/>
        <w:ind w:firstLine="0"/>
        <w:jc w:val="center"/>
        <w:rPr>
          <w:i/>
          <w:iCs/>
          <w:sz w:val="22"/>
          <w:szCs w:val="22"/>
        </w:rPr>
      </w:pPr>
      <w:r>
        <w:rPr>
          <w:i/>
          <w:iCs/>
          <w:sz w:val="22"/>
          <w:szCs w:val="22"/>
        </w:rPr>
        <w:t>[Figures 11-13 go here]</w:t>
      </w:r>
    </w:p>
    <w:p w:rsidR="00AD5AC9" w:rsidRDefault="00AD52EE">
      <w:pPr>
        <w:pStyle w:val="BodyText"/>
      </w:pPr>
      <w:r>
        <w:t>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rsidR="00AD5AC9" w:rsidRDefault="00AD52EE">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w:t>
      </w:r>
      <w:r>
        <w:lastRenderedPageBreak/>
        <w:t>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 (Converse 1964).</w:t>
      </w:r>
    </w:p>
    <w:p w:rsidR="00AD5AC9" w:rsidRDefault="00AD52EE">
      <w:pPr>
        <w:pStyle w:val="Heading1"/>
      </w:pPr>
      <w:bookmarkStart w:id="28" w:name="references"/>
      <w:r>
        <w:t>References</w:t>
      </w:r>
      <w:bookmarkEnd w:id="28"/>
    </w:p>
    <w:p w:rsidR="00AD5AC9" w:rsidRDefault="00AD52EE">
      <w:pPr>
        <w:pStyle w:val="Bibliography"/>
      </w:pPr>
      <w:bookmarkStart w:id="29" w:name="ref-abramowitzsaunders06"/>
      <w:bookmarkStart w:id="30" w:name="refs"/>
      <w:r>
        <w:t xml:space="preserve">Abramowitz, Alan I., and Kyle L. Saunders. 2006. “Exploring the Bases of Partisanship in the American Electorate: Social Identity Vs. Ideology.” </w:t>
      </w:r>
      <w:r>
        <w:rPr>
          <w:i/>
        </w:rPr>
        <w:t>Political Research Quarterly</w:t>
      </w:r>
      <w:r>
        <w:t xml:space="preserve"> 59 (2): 175–87.</w:t>
      </w:r>
    </w:p>
    <w:p w:rsidR="00AD5AC9" w:rsidRDefault="00AD52EE">
      <w:pPr>
        <w:pStyle w:val="Bibliography"/>
      </w:pPr>
      <w:bookmarkStart w:id="31" w:name="ref-achen1992"/>
      <w:bookmarkEnd w:id="29"/>
      <w:r>
        <w:t xml:space="preserve">Achen, Christopher H. 1992. “Social Psychology, Demographic Variables, and Linear Regression: Breaking the Iron Triangle in Voting Research.” </w:t>
      </w:r>
      <w:r>
        <w:rPr>
          <w:i/>
        </w:rPr>
        <w:t>Political Behavior</w:t>
      </w:r>
      <w:r>
        <w:t xml:space="preserve"> 14 (3): 195–211.</w:t>
      </w:r>
    </w:p>
    <w:p w:rsidR="00AD5AC9" w:rsidRDefault="00AD52EE">
      <w:pPr>
        <w:pStyle w:val="Bibliography"/>
      </w:pPr>
      <w:bookmarkStart w:id="32" w:name="ref-alwin"/>
      <w:bookmarkEnd w:id="31"/>
      <w:r>
        <w:t xml:space="preserve">Alwin, Duane F. 2007. </w:t>
      </w:r>
      <w:r>
        <w:rPr>
          <w:i/>
        </w:rPr>
        <w:t>Margins of Error: A Study of Reliability in Survey Measurement</w:t>
      </w:r>
      <w:r>
        <w:t>. New York: John Wiley &amp; Sons.</w:t>
      </w:r>
    </w:p>
    <w:p w:rsidR="00AD5AC9" w:rsidRDefault="00AD52EE">
      <w:pPr>
        <w:pStyle w:val="Bibliography"/>
      </w:pPr>
      <w:bookmarkStart w:id="33" w:name="ref-alwinkrosnick"/>
      <w:bookmarkEnd w:id="32"/>
      <w:r>
        <w:t xml:space="preserve">Alwin, Duane F., and Jon A. Krosnick. 1991. “Aging, Cohorts, and Stability of Sociopolitical Orientations over the Life Span.” </w:t>
      </w:r>
      <w:r>
        <w:rPr>
          <w:i/>
        </w:rPr>
        <w:t>American Journal of Sociology</w:t>
      </w:r>
      <w:r>
        <w:t xml:space="preserve"> 97 (1): 169–95.</w:t>
      </w:r>
    </w:p>
    <w:p w:rsidR="00AD5AC9" w:rsidRDefault="00AD52EE">
      <w:pPr>
        <w:pStyle w:val="Bibliography"/>
      </w:pPr>
      <w:bookmarkStart w:id="34" w:name="ref-ansolabehereetal"/>
      <w:bookmarkEnd w:id="33"/>
      <w:r>
        <w:t xml:space="preserve">Ansolabehere, Stephen, Jonathan Rodden, and James M. Snyder Jr. 2008. “The Strength of Issues: Using Multiple Measures to Gauge Preferennce Stability, Ideological Constraint, and Issue Voting.” </w:t>
      </w:r>
      <w:r>
        <w:rPr>
          <w:i/>
        </w:rPr>
        <w:t>American Political Science Review</w:t>
      </w:r>
      <w:r>
        <w:t xml:space="preserve"> 102 (2): 215–32.</w:t>
      </w:r>
    </w:p>
    <w:p w:rsidR="00AD5AC9" w:rsidRDefault="00AD52EE">
      <w:pPr>
        <w:pStyle w:val="Bibliography"/>
      </w:pPr>
      <w:bookmarkStart w:id="35" w:name="ref-bailetal"/>
      <w:bookmarkEnd w:id="34"/>
      <w:r>
        <w:t xml:space="preserve">Bail, Christopher A., Lisa P. Argyle, Taylor W. Brown, John P. Bumpus, Haohan Chen, M. B. Fallin Hunzaker, Jaemin Lee, Marcus Mann, Friedolin Merhout, and Alexander Volfovsky. 2018. “Exposure to Opposing Views on Social Media Can Increase Political Polarization.” </w:t>
      </w:r>
      <w:r>
        <w:rPr>
          <w:i/>
        </w:rPr>
        <w:t>Proceedings of the National Academy of Sciences</w:t>
      </w:r>
      <w:r>
        <w:t xml:space="preserve"> 115 (37): 9216–21.</w:t>
      </w:r>
    </w:p>
    <w:p w:rsidR="00AD5AC9" w:rsidRDefault="00AD52EE">
      <w:pPr>
        <w:pStyle w:val="Bibliography"/>
      </w:pPr>
      <w:bookmarkStart w:id="36" w:name="ref-baldassarigelman"/>
      <w:bookmarkEnd w:id="35"/>
      <w:r>
        <w:t xml:space="preserve">Baldassarri, Delia, and Andrew Gelman. 2008. “Partisans Without Constraint: Political Polarization and Trends in American Public Opinion.” </w:t>
      </w:r>
      <w:r>
        <w:rPr>
          <w:i/>
        </w:rPr>
        <w:t>American Journal of Sociology</w:t>
      </w:r>
      <w:r>
        <w:t xml:space="preserve"> 114 (2): 408–46.</w:t>
      </w:r>
    </w:p>
    <w:p w:rsidR="00AD5AC9" w:rsidRDefault="00AD52EE">
      <w:pPr>
        <w:pStyle w:val="Bibliography"/>
      </w:pPr>
      <w:bookmarkStart w:id="37" w:name="ref-bartelsjackman"/>
      <w:bookmarkEnd w:id="36"/>
      <w:r>
        <w:t xml:space="preserve">Bartels, Larry M., and Simon Jackman. 2014. “A Generational Model of Political Learning.” </w:t>
      </w:r>
      <w:r>
        <w:rPr>
          <w:i/>
        </w:rPr>
        <w:t>Electoral Studies</w:t>
      </w:r>
      <w:r>
        <w:t xml:space="preserve"> 33: 7–18.</w:t>
      </w:r>
    </w:p>
    <w:p w:rsidR="00AD5AC9" w:rsidRDefault="00AD52EE">
      <w:pPr>
        <w:pStyle w:val="Bibliography"/>
      </w:pPr>
      <w:bookmarkStart w:id="38" w:name="ref-bourdieu_publicopinion"/>
      <w:bookmarkEnd w:id="37"/>
      <w:r>
        <w:t xml:space="preserve">Bourdieu, Pierre. 1979. “Public Opinion Does Not Exist.” In </w:t>
      </w:r>
      <w:r>
        <w:rPr>
          <w:i/>
        </w:rPr>
        <w:t>Communication and Class Struggle</w:t>
      </w:r>
      <w:r>
        <w:t>, edited by A. Mattelart and S. Siegelaub, 124–30. Bagnolet.</w:t>
      </w:r>
    </w:p>
    <w:p w:rsidR="00AD5AC9" w:rsidRDefault="00AD52EE">
      <w:pPr>
        <w:pStyle w:val="Bibliography"/>
      </w:pPr>
      <w:bookmarkStart w:id="39" w:name="ref-bourdieulogic"/>
      <w:bookmarkEnd w:id="38"/>
      <w:r>
        <w:t xml:space="preserve">———. 1990. </w:t>
      </w:r>
      <w:r>
        <w:rPr>
          <w:i/>
        </w:rPr>
        <w:t>The Logic of Practice</w:t>
      </w:r>
      <w:r>
        <w:t>. Stanford, California: Stanford University Press.</w:t>
      </w:r>
    </w:p>
    <w:p w:rsidR="00AD5AC9" w:rsidRDefault="00AD52EE">
      <w:pPr>
        <w:pStyle w:val="Bibliography"/>
      </w:pPr>
      <w:bookmarkStart w:id="40" w:name="ref-boutylinevaisey"/>
      <w:bookmarkEnd w:id="39"/>
      <w:r>
        <w:t xml:space="preserve">Boutyline, Andrei, and Stephen Vaisey. 2017. “Belief Network Analysis: A Relational Approach to Understanding the Structure of Attitudes.” </w:t>
      </w:r>
      <w:r>
        <w:rPr>
          <w:i/>
        </w:rPr>
        <w:t>American Journal of Sociology</w:t>
      </w:r>
      <w:r>
        <w:t xml:space="preserve"> 122 (5): 1371–1447.</w:t>
      </w:r>
    </w:p>
    <w:p w:rsidR="00AD5AC9" w:rsidRDefault="00AD52EE">
      <w:pPr>
        <w:pStyle w:val="Bibliography"/>
      </w:pPr>
      <w:bookmarkStart w:id="41" w:name="ref-centola"/>
      <w:bookmarkEnd w:id="40"/>
      <w:r>
        <w:lastRenderedPageBreak/>
        <w:t xml:space="preserve">Centola, Damon. 2018. </w:t>
      </w:r>
      <w:r>
        <w:rPr>
          <w:i/>
        </w:rPr>
        <w:t>How Behavior Spreads: The Science of Complex Contagion</w:t>
      </w:r>
      <w:r>
        <w:t>. Princeton, New Jersey: Princeton University Press.</w:t>
      </w:r>
    </w:p>
    <w:p w:rsidR="00AD5AC9" w:rsidRDefault="00AD52EE">
      <w:pPr>
        <w:pStyle w:val="Bibliography"/>
      </w:pPr>
      <w:bookmarkStart w:id="42" w:name="ref-christakisfowler"/>
      <w:bookmarkEnd w:id="41"/>
      <w:r>
        <w:t xml:space="preserve">Christakis, Nicholas A., and James H. Fowler. 2009. </w:t>
      </w:r>
      <w:r>
        <w:rPr>
          <w:i/>
        </w:rPr>
        <w:t>Connected: The Surprising Power of Our Social Networks and How They Shape Our Lives</w:t>
      </w:r>
      <w:r>
        <w:t>. New York: Little, Brown; Company.</w:t>
      </w:r>
    </w:p>
    <w:p w:rsidR="00AD5AC9" w:rsidRDefault="00AD52EE">
      <w:pPr>
        <w:pStyle w:val="Bibliography"/>
      </w:pPr>
      <w:bookmarkStart w:id="43" w:name="ref-converse"/>
      <w:bookmarkEnd w:id="42"/>
      <w:r>
        <w:t xml:space="preserve">Converse, Philip. 1964. “The Nature of Belief Systems in Mass Publics.” In </w:t>
      </w:r>
      <w:r>
        <w:rPr>
          <w:i/>
        </w:rPr>
        <w:t>Ideology and Discontent, International Yearbook of Political Behavior Research</w:t>
      </w:r>
      <w:r>
        <w:t>, edited by David Apter. Vol. 5. Free Press.</w:t>
      </w:r>
    </w:p>
    <w:p w:rsidR="00AD5AC9" w:rsidRDefault="00AD52EE">
      <w:pPr>
        <w:pStyle w:val="Bibliography"/>
      </w:pPr>
      <w:bookmarkStart w:id="44" w:name="ref-cotterhermsenvanneman"/>
      <w:bookmarkEnd w:id="43"/>
      <w:r>
        <w:t xml:space="preserve">Cotter, David A., Joan M. Hermsen, and Reeve Vanneman. 2011. ““The End of the Gender Revolution? Gender Role Attitudes from 1977 to 2008.” </w:t>
      </w:r>
      <w:r>
        <w:rPr>
          <w:i/>
        </w:rPr>
        <w:t>American Journal of Sociology</w:t>
      </w:r>
      <w:r>
        <w:t xml:space="preserve"> 117: 259–89.</w:t>
      </w:r>
    </w:p>
    <w:p w:rsidR="00AD5AC9" w:rsidRDefault="00AD52EE">
      <w:pPr>
        <w:pStyle w:val="Bibliography"/>
      </w:pPr>
      <w:bookmarkStart w:id="45" w:name="ref-danigelis"/>
      <w:bookmarkEnd w:id="44"/>
      <w:r>
        <w:t xml:space="preserve">Danigelis, Nicholas L., Melissa Hardy, and Stephen Cutler. 2007. “Population Aging, Intracohort Aging, and Sociopolitical Attitudes.” </w:t>
      </w:r>
      <w:r>
        <w:rPr>
          <w:i/>
        </w:rPr>
        <w:t>American Sociological Review</w:t>
      </w:r>
      <w:r>
        <w:t xml:space="preserve"> 72: 812–30.</w:t>
      </w:r>
    </w:p>
    <w:p w:rsidR="00AD5AC9" w:rsidRDefault="00AD52EE">
      <w:pPr>
        <w:pStyle w:val="Bibliography"/>
      </w:pPr>
      <w:bookmarkStart w:id="46" w:name="ref-degloma"/>
      <w:bookmarkEnd w:id="45"/>
      <w:r>
        <w:t xml:space="preserve">DeGloma, Thomas. 2014. </w:t>
      </w:r>
      <w:r>
        <w:rPr>
          <w:i/>
        </w:rPr>
        <w:t>Seeing the Light: The Social Logic of Personal Discovery</w:t>
      </w:r>
      <w:r>
        <w:t>. Chicago: University of Chicago Press.</w:t>
      </w:r>
    </w:p>
    <w:p w:rsidR="00AD5AC9" w:rsidRDefault="00AD52EE">
      <w:pPr>
        <w:pStyle w:val="Bibliography"/>
      </w:pPr>
      <w:bookmarkStart w:id="47" w:name="ref-dellapostashimacy"/>
      <w:bookmarkEnd w:id="46"/>
      <w:r>
        <w:t xml:space="preserve">DellaPosta, Daniel, Yongren Shi, and Michael Macy. 2015. “Why Do Liberals Drink Lattes?” </w:t>
      </w:r>
      <w:r>
        <w:rPr>
          <w:i/>
        </w:rPr>
        <w:t>American Journal of Sociology</w:t>
      </w:r>
      <w:r>
        <w:t xml:space="preserve"> 120 (5): 1473–1511.</w:t>
      </w:r>
    </w:p>
    <w:p w:rsidR="00AD5AC9" w:rsidRDefault="00AD52EE">
      <w:pPr>
        <w:pStyle w:val="Bibliography"/>
      </w:pPr>
      <w:bookmarkStart w:id="48" w:name="ref-dimaggio_polarization"/>
      <w:bookmarkEnd w:id="47"/>
      <w:r>
        <w:t xml:space="preserve">DiMaggio, Paul, John Evans, and Bethany Bryson. 1996. “Have American’s Social Attitudes Become More Polarized.” </w:t>
      </w:r>
      <w:r>
        <w:rPr>
          <w:i/>
        </w:rPr>
        <w:t>American Journal of Sociology</w:t>
      </w:r>
      <w:r>
        <w:t xml:space="preserve"> 102: 690–755.</w:t>
      </w:r>
    </w:p>
    <w:p w:rsidR="00AD5AC9" w:rsidRDefault="00AD52EE">
      <w:pPr>
        <w:pStyle w:val="Bibliography"/>
      </w:pPr>
      <w:bookmarkStart w:id="49" w:name="ref-eatonetal"/>
      <w:bookmarkEnd w:id="48"/>
      <w:r>
        <w:t xml:space="preserve">Eaton, Asia A., Penny S. Visser, Jon A. Krosnick, and Sowmya Anand. 2009. “Social Power and Attitude Strength over the Life Course.” </w:t>
      </w:r>
      <w:r>
        <w:rPr>
          <w:i/>
        </w:rPr>
        <w:t>Personality and Social Psychology Bulletin</w:t>
      </w:r>
      <w:r>
        <w:t xml:space="preserve"> 35 (12): 1646–60.</w:t>
      </w:r>
    </w:p>
    <w:p w:rsidR="00AD5AC9" w:rsidRDefault="00AD52EE">
      <w:pPr>
        <w:pStyle w:val="Bibliography"/>
      </w:pPr>
      <w:bookmarkStart w:id="50" w:name="ref-elder"/>
      <w:bookmarkEnd w:id="49"/>
      <w:r>
        <w:t xml:space="preserve">Elder, Glen. 1974. </w:t>
      </w:r>
      <w:r>
        <w:rPr>
          <w:i/>
        </w:rPr>
        <w:t>Children of the Great Depression: Social Change in Life Experience</w:t>
      </w:r>
      <w:r>
        <w:t>. Chicago: University of Chicago Press.</w:t>
      </w:r>
    </w:p>
    <w:p w:rsidR="00AD5AC9" w:rsidRDefault="00AD52EE">
      <w:pPr>
        <w:pStyle w:val="Bibliography"/>
      </w:pPr>
      <w:bookmarkStart w:id="51" w:name="ref-glenn"/>
      <w:bookmarkEnd w:id="50"/>
      <w:r>
        <w:t xml:space="preserve">Glenn, Norval D. 1974. “Aging and Conservatism.” </w:t>
      </w:r>
      <w:r>
        <w:rPr>
          <w:i/>
        </w:rPr>
        <w:t>Annals of the American Academy of Political and Social Science</w:t>
      </w:r>
      <w:r>
        <w:t xml:space="preserve"> 415: 176–86.</w:t>
      </w:r>
    </w:p>
    <w:p w:rsidR="00AD5AC9" w:rsidRDefault="00AD52EE">
      <w:pPr>
        <w:pStyle w:val="Bibliography"/>
      </w:pPr>
      <w:bookmarkStart w:id="52" w:name="ref-goldbergstein"/>
      <w:bookmarkEnd w:id="51"/>
      <w:r>
        <w:t xml:space="preserve">Goldberg, Amir, and Sarah K. Stein. 2018. “Beyond Social Contagion: Associative Diffusion and the Emergence of Cultural Variation.” </w:t>
      </w:r>
      <w:r>
        <w:rPr>
          <w:i/>
        </w:rPr>
        <w:t>American Sociological Review</w:t>
      </w:r>
      <w:r>
        <w:t xml:space="preserve"> 83 (5): 897–932.</w:t>
      </w:r>
    </w:p>
    <w:p w:rsidR="00AD5AC9" w:rsidRDefault="00AD52EE">
      <w:pPr>
        <w:pStyle w:val="Bibliography"/>
      </w:pPr>
      <w:bookmarkStart w:id="53" w:name="ref-greenetal"/>
      <w:bookmarkEnd w:id="52"/>
      <w:r>
        <w:t xml:space="preserve">Green, Donald, Bradley Palmquist, and Eric Schickler. 2002. </w:t>
      </w:r>
      <w:r>
        <w:rPr>
          <w:i/>
        </w:rPr>
        <w:t>Partisan Hearts and Minds: Political Parties and the Social Identities of Voters</w:t>
      </w:r>
      <w:r>
        <w:t>. New Haven, CT: Yale University Press.</w:t>
      </w:r>
    </w:p>
    <w:p w:rsidR="00AD5AC9" w:rsidRDefault="00AD52EE">
      <w:pPr>
        <w:pStyle w:val="Bibliography"/>
      </w:pPr>
      <w:bookmarkStart w:id="54" w:name="ref-gross09"/>
      <w:bookmarkEnd w:id="53"/>
      <w:r>
        <w:t xml:space="preserve">Gross, Neil. 2009. “A Pragmatist Theory of Social Mechanisms.” </w:t>
      </w:r>
      <w:r>
        <w:rPr>
          <w:i/>
        </w:rPr>
        <w:t>American Sociological Review</w:t>
      </w:r>
      <w:r>
        <w:t xml:space="preserve"> 74: 358–79.</w:t>
      </w:r>
    </w:p>
    <w:p w:rsidR="00AD5AC9" w:rsidRDefault="00AD52EE">
      <w:pPr>
        <w:pStyle w:val="Bibliography"/>
      </w:pPr>
      <w:bookmarkStart w:id="55" w:name="ref-heise"/>
      <w:bookmarkEnd w:id="54"/>
      <w:r>
        <w:t xml:space="preserve">Heise, David R. 1969. “Separating Reliability and Stability in Test-Retest Correlation.” </w:t>
      </w:r>
      <w:r>
        <w:rPr>
          <w:i/>
        </w:rPr>
        <w:t>American Sociological Review</w:t>
      </w:r>
      <w:r>
        <w:t xml:space="preserve"> 34: 93–191.</w:t>
      </w:r>
    </w:p>
    <w:p w:rsidR="00AD5AC9" w:rsidRDefault="00AD52EE">
      <w:pPr>
        <w:pStyle w:val="Bibliography"/>
      </w:pPr>
      <w:bookmarkStart w:id="56" w:name="ref-houthastings"/>
      <w:bookmarkEnd w:id="55"/>
      <w:r>
        <w:lastRenderedPageBreak/>
        <w:t xml:space="preserve">Hout, Michael, and Orestes P. Hastings. 2016. “Reliability of the Core Items in the General Social Survey: Estimates from the Three-Wave Panels, 2006–2014.” </w:t>
      </w:r>
      <w:r>
        <w:rPr>
          <w:i/>
        </w:rPr>
        <w:t>Sociological Science</w:t>
      </w:r>
      <w:r>
        <w:t xml:space="preserve"> 3: 971–1002.</w:t>
      </w:r>
    </w:p>
    <w:p w:rsidR="00AD5AC9" w:rsidRDefault="00AD52EE">
      <w:pPr>
        <w:pStyle w:val="Bibliography"/>
      </w:pPr>
      <w:bookmarkStart w:id="57" w:name="ref-howekrosnick"/>
      <w:bookmarkEnd w:id="56"/>
      <w:r>
        <w:t xml:space="preserve">Howe, Lauren C., and John A. Krosnick. 2017. “Attitude Strength.” </w:t>
      </w:r>
      <w:r>
        <w:rPr>
          <w:i/>
        </w:rPr>
        <w:t>Annual Review of Psychology</w:t>
      </w:r>
      <w:r>
        <w:t xml:space="preserve"> 68: 327–51.</w:t>
      </w:r>
    </w:p>
    <w:p w:rsidR="00AD5AC9" w:rsidRDefault="00AD52EE">
      <w:pPr>
        <w:pStyle w:val="Bibliography"/>
      </w:pPr>
      <w:bookmarkStart w:id="58" w:name="ref-inglehartbaker"/>
      <w:bookmarkEnd w:id="57"/>
      <w:r>
        <w:t xml:space="preserve">Inglehart, Ronald, and Wayne E. Baker. 2000. “Modernization, Cultural Change, and the Persistence of Traditional Values.” </w:t>
      </w:r>
      <w:r>
        <w:rPr>
          <w:i/>
        </w:rPr>
        <w:t>American Sociological Review</w:t>
      </w:r>
      <w:r>
        <w:t xml:space="preserve"> 65: 19–51.</w:t>
      </w:r>
    </w:p>
    <w:p w:rsidR="00AD5AC9" w:rsidRDefault="00AD52EE">
      <w:pPr>
        <w:pStyle w:val="Bibliography"/>
      </w:pPr>
      <w:bookmarkStart w:id="59" w:name="ref-iyengarwestwood"/>
      <w:bookmarkEnd w:id="58"/>
      <w:r>
        <w:t xml:space="preserve">Iyengar, Shanto, and Sean J. Westwood. 2015. “Fear and Loathing Across Party Lines: New Evidence on Group Polarization.” </w:t>
      </w:r>
      <w:r>
        <w:rPr>
          <w:i/>
        </w:rPr>
        <w:t>American Journal of Political Science</w:t>
      </w:r>
      <w:r>
        <w:t xml:space="preserve"> 59 (3): 690–707.</w:t>
      </w:r>
    </w:p>
    <w:p w:rsidR="00AD5AC9" w:rsidRDefault="00AD52EE">
      <w:pPr>
        <w:pStyle w:val="Bibliography"/>
      </w:pPr>
      <w:bookmarkStart w:id="60" w:name="ref-kinderkalmoe"/>
      <w:bookmarkEnd w:id="59"/>
      <w:r>
        <w:t xml:space="preserve">Kinder, Donald R., and Nathan P. Kalmoe. 2017. </w:t>
      </w:r>
      <w:r>
        <w:rPr>
          <w:i/>
        </w:rPr>
        <w:t>Neither Liberal nor Conservative: Ideological Innocence in the American Public</w:t>
      </w:r>
      <w:r>
        <w:t>. Chicago: University of Chicago Press.</w:t>
      </w:r>
    </w:p>
    <w:p w:rsidR="00AD5AC9" w:rsidRDefault="00AD52EE">
      <w:pPr>
        <w:pStyle w:val="Bibliography"/>
      </w:pPr>
      <w:bookmarkStart w:id="61" w:name="ref-krosnickalwin"/>
      <w:bookmarkEnd w:id="60"/>
      <w:r>
        <w:t xml:space="preserve">Krosnick, John A., and Duane F. Alwin. 1989. “Aging and Susceptibility to Attitude Change.” </w:t>
      </w:r>
      <w:r>
        <w:rPr>
          <w:i/>
        </w:rPr>
        <w:t>Journal of Personality and Social Psychology</w:t>
      </w:r>
      <w:r>
        <w:t xml:space="preserve"> 57 (3): 416–25.</w:t>
      </w:r>
    </w:p>
    <w:p w:rsidR="00AD5AC9" w:rsidRDefault="00AD52EE">
      <w:pPr>
        <w:pStyle w:val="Bibliography"/>
      </w:pPr>
      <w:bookmarkStart w:id="62" w:name="ref-lakoff"/>
      <w:bookmarkEnd w:id="61"/>
      <w:r>
        <w:t xml:space="preserve">Lakoff, George. 2002. </w:t>
      </w:r>
      <w:r>
        <w:rPr>
          <w:i/>
        </w:rPr>
        <w:t>Moral Politics: How Liberals and Conservatives Think</w:t>
      </w:r>
      <w:r>
        <w:t>. Chicago: University of Chicago Press.</w:t>
      </w:r>
    </w:p>
    <w:p w:rsidR="00AD5AC9" w:rsidRDefault="00AD52EE">
      <w:pPr>
        <w:pStyle w:val="Bibliography"/>
      </w:pPr>
      <w:bookmarkStart w:id="63" w:name="ref-lizardo17"/>
      <w:bookmarkEnd w:id="62"/>
      <w:r>
        <w:t xml:space="preserve">Lizardo, Omar. 2017. “Improving Cultural Analysis: Considering Personal Culture in Its Declarative and Nondeclarative Modes.” </w:t>
      </w:r>
      <w:r>
        <w:rPr>
          <w:i/>
        </w:rPr>
        <w:t>American Sociological Review</w:t>
      </w:r>
      <w:r>
        <w:t xml:space="preserve"> 82 (1): 88–115.</w:t>
      </w:r>
    </w:p>
    <w:p w:rsidR="00AD5AC9" w:rsidRDefault="00AD52EE">
      <w:pPr>
        <w:pStyle w:val="Bibliography"/>
      </w:pPr>
      <w:bookmarkStart w:id="64" w:name="ref-lizardostrand"/>
      <w:bookmarkEnd w:id="63"/>
      <w:r>
        <w:t xml:space="preserve">Lizardo, Omar, and Michael Strand. 2010. “Skills, Toolkits, Contexts and Institutions: Clarifying the Relationship Between Different Approaches to Cognition in Cultural Sociology.” </w:t>
      </w:r>
      <w:r>
        <w:rPr>
          <w:i/>
        </w:rPr>
        <w:t>Poetics</w:t>
      </w:r>
      <w:r>
        <w:t xml:space="preserve"> 38 (2): 205–28.</w:t>
      </w:r>
    </w:p>
    <w:p w:rsidR="00AD5AC9" w:rsidRDefault="00AD52EE">
      <w:pPr>
        <w:pStyle w:val="Bibliography"/>
      </w:pPr>
      <w:bookmarkStart w:id="65" w:name="ref-mannheim"/>
      <w:bookmarkEnd w:id="64"/>
      <w:r>
        <w:t xml:space="preserve">Mannheim, Karl. 1952. “The Problem of Generations.” In </w:t>
      </w:r>
      <w:r>
        <w:rPr>
          <w:i/>
        </w:rPr>
        <w:t>Essays on the Sociology of Knowledge</w:t>
      </w:r>
      <w:r>
        <w:t>, 276–322. New York: Oxford University Press.</w:t>
      </w:r>
    </w:p>
    <w:p w:rsidR="00AD5AC9" w:rsidRDefault="00AD52EE">
      <w:pPr>
        <w:pStyle w:val="Bibliography"/>
      </w:pPr>
      <w:bookmarkStart w:id="66" w:name="ref-ohetal"/>
      <w:bookmarkEnd w:id="65"/>
      <w:r>
        <w:t xml:space="preserve">Oh, Jeong Hyun, Sara Yeatman, and Jenny Trinitapoli. 2019. “Data Collection as Disruption: Insights from a Longitudinal Study of Young Adulthood.” </w:t>
      </w:r>
      <w:r>
        <w:rPr>
          <w:i/>
        </w:rPr>
        <w:t>American Sociological Review</w:t>
      </w:r>
      <w:r>
        <w:t xml:space="preserve"> 84 (4): 634–63.</w:t>
      </w:r>
    </w:p>
    <w:p w:rsidR="00AD5AC9" w:rsidRDefault="00AD52EE">
      <w:pPr>
        <w:pStyle w:val="Bibliography"/>
      </w:pPr>
      <w:bookmarkStart w:id="67" w:name="ref-pageshapiro"/>
      <w:bookmarkEnd w:id="66"/>
      <w:r>
        <w:t xml:space="preserve">Page, Benjamin I., and Robert Y. Shapiro. 1992. </w:t>
      </w:r>
      <w:r>
        <w:rPr>
          <w:i/>
        </w:rPr>
        <w:t>The Rational Public: Fifty Years of Trends in Americans’ Policy Preferences</w:t>
      </w:r>
      <w:r>
        <w:t>. Chicago: University of Chicago Press.</w:t>
      </w:r>
    </w:p>
    <w:p w:rsidR="00AD5AC9" w:rsidRDefault="00AD52EE">
      <w:pPr>
        <w:pStyle w:val="Bibliography"/>
      </w:pPr>
      <w:bookmarkStart w:id="68" w:name="ref-perrinmcfadden"/>
      <w:bookmarkEnd w:id="67"/>
      <w:r>
        <w:t xml:space="preserve">Perrin, Andrew J., and Katherine McFarland. 2011. “Social Theory and Public Opinion.” </w:t>
      </w:r>
      <w:r>
        <w:rPr>
          <w:i/>
        </w:rPr>
        <w:t>Annual Review of Sociology</w:t>
      </w:r>
      <w:r>
        <w:t xml:space="preserve"> 37: 87–107.</w:t>
      </w:r>
    </w:p>
    <w:p w:rsidR="00AD5AC9" w:rsidRDefault="00AD52EE">
      <w:pPr>
        <w:pStyle w:val="Bibliography"/>
      </w:pPr>
      <w:bookmarkStart w:id="69" w:name="ref-robinson2007"/>
      <w:bookmarkEnd w:id="68"/>
      <w:r>
        <w:t xml:space="preserve">Robinson, Dawn T. 2007. “Control Theories in Sociology.” </w:t>
      </w:r>
      <w:r>
        <w:rPr>
          <w:i/>
        </w:rPr>
        <w:t>Annual Review of Sociology</w:t>
      </w:r>
      <w:r>
        <w:t xml:space="preserve"> 33: 157–74.</w:t>
      </w:r>
    </w:p>
    <w:p w:rsidR="00AD5AC9" w:rsidRDefault="00AD52EE">
      <w:pPr>
        <w:pStyle w:val="Bibliography"/>
      </w:pPr>
      <w:bookmarkStart w:id="70" w:name="ref-ryder"/>
      <w:bookmarkEnd w:id="69"/>
      <w:r>
        <w:t xml:space="preserve">Ryder, Norman B. 1965. “The Cohort as a Concept in the Study of Social Change.” </w:t>
      </w:r>
      <w:r>
        <w:rPr>
          <w:i/>
        </w:rPr>
        <w:t>American Sociological Review</w:t>
      </w:r>
      <w:r>
        <w:t xml:space="preserve"> 30 (6): 843–61.</w:t>
      </w:r>
    </w:p>
    <w:p w:rsidR="00AD5AC9" w:rsidRDefault="00AD52EE">
      <w:pPr>
        <w:pStyle w:val="Bibliography"/>
      </w:pPr>
      <w:bookmarkStart w:id="71" w:name="ref-schnabelsevell"/>
      <w:bookmarkEnd w:id="70"/>
      <w:r>
        <w:lastRenderedPageBreak/>
        <w:t xml:space="preserve">Schnabel, Landon, and Eric Sevell. 2017. “Should Mary and Jane Be Legal? Americans’ Attitudes Toward Marijuana and Same-Sex Marriage.” </w:t>
      </w:r>
      <w:r>
        <w:rPr>
          <w:i/>
        </w:rPr>
        <w:t>Public Opinion Quarterly</w:t>
      </w:r>
      <w:r>
        <w:t xml:space="preserve"> 81 (1): 157–72.</w:t>
      </w:r>
    </w:p>
    <w:p w:rsidR="00AD5AC9" w:rsidRDefault="00AD52EE">
      <w:pPr>
        <w:pStyle w:val="Bibliography"/>
      </w:pPr>
      <w:bookmarkStart w:id="72" w:name="ref-smith97"/>
      <w:bookmarkEnd w:id="71"/>
      <w:r>
        <w:t xml:space="preserve">Smith, Tom W. 1997. “Factors Relating to Misanthropy in Contemporary American Society.” </w:t>
      </w:r>
      <w:r>
        <w:rPr>
          <w:i/>
        </w:rPr>
        <w:t>Social Science Research</w:t>
      </w:r>
      <w:r>
        <w:t xml:space="preserve"> 26: 179–96.</w:t>
      </w:r>
    </w:p>
    <w:p w:rsidR="00AD5AC9" w:rsidRDefault="00AD52EE">
      <w:pPr>
        <w:pStyle w:val="Bibliography"/>
      </w:pPr>
      <w:bookmarkStart w:id="73" w:name="ref-smithlovinheise"/>
      <w:bookmarkEnd w:id="72"/>
      <w:r>
        <w:t xml:space="preserve">Smith-Lovin, Lynn, and David R. Heise. 1988. </w:t>
      </w:r>
      <w:r>
        <w:rPr>
          <w:i/>
        </w:rPr>
        <w:t>Analyzing Social Interaction: Advances in Affect Control Theory</w:t>
      </w:r>
      <w:r>
        <w:t>. New York: Gordon; Breach Science Publishers.</w:t>
      </w:r>
    </w:p>
    <w:p w:rsidR="00AD5AC9" w:rsidRDefault="00AD52EE">
      <w:pPr>
        <w:pStyle w:val="Bibliography"/>
      </w:pPr>
      <w:bookmarkStart w:id="74" w:name="ref-vaiseylizardo"/>
      <w:bookmarkEnd w:id="73"/>
      <w:r>
        <w:t xml:space="preserve">Vaisey, Stephen, and Omar Lizardo. 2016. “Cultural Fragmentation or Acquired Dispositions? A New Approach to Accounting for Patterns of Cultural Change.” </w:t>
      </w:r>
      <w:r>
        <w:rPr>
          <w:i/>
        </w:rPr>
        <w:t>Socius</w:t>
      </w:r>
      <w:r>
        <w:t xml:space="preserve"> 2: 1–15.</w:t>
      </w:r>
    </w:p>
    <w:p w:rsidR="00AD5AC9" w:rsidRDefault="00AD52EE">
      <w:pPr>
        <w:pStyle w:val="Bibliography"/>
      </w:pPr>
      <w:bookmarkStart w:id="75" w:name="ref-visserkrosnick"/>
      <w:bookmarkEnd w:id="74"/>
      <w:r>
        <w:t xml:space="preserve">Visser, Penny S., and Jon A. Krosnick. 1998. “Development of Attitude Strength over the Life Cycle: Surge and Decline.” </w:t>
      </w:r>
      <w:r>
        <w:rPr>
          <w:i/>
        </w:rPr>
        <w:t>Journal of Personality and Social Psychology</w:t>
      </w:r>
      <w:r>
        <w:t xml:space="preserve"> 75 (6): 1389–1410.</w:t>
      </w:r>
    </w:p>
    <w:p w:rsidR="00AD5AC9" w:rsidRDefault="00AD52EE">
      <w:pPr>
        <w:pStyle w:val="Bibliography"/>
      </w:pPr>
      <w:bookmarkStart w:id="76" w:name="ref-vissermirabile"/>
      <w:bookmarkEnd w:id="75"/>
      <w:r>
        <w:t xml:space="preserve">Visser, Penny S., and Robert R. Mirabile. 2004. “Attitudes in the Social Context: The Impact of Social Network Composition on Individual-Level Attitude Strength.” </w:t>
      </w:r>
      <w:r>
        <w:rPr>
          <w:i/>
        </w:rPr>
        <w:t>Journal of Personal and Social Psychology</w:t>
      </w:r>
      <w:r>
        <w:t xml:space="preserve"> 87 (6): 779–95.</w:t>
      </w:r>
    </w:p>
    <w:p w:rsidR="00AD5AC9" w:rsidRDefault="00AD52EE">
      <w:pPr>
        <w:pStyle w:val="Bibliography"/>
      </w:pPr>
      <w:bookmarkStart w:id="77" w:name="ref-warrenhalpernmanners"/>
      <w:bookmarkEnd w:id="76"/>
      <w:r>
        <w:t xml:space="preserve">Warren, John Robert, and Andrew Halpern-Manners. 2012. “Panel Conditioning in Longitudinal Social Science Surveys.” </w:t>
      </w:r>
      <w:r>
        <w:rPr>
          <w:i/>
        </w:rPr>
        <w:t>Sociological Methods and Research</w:t>
      </w:r>
      <w:r>
        <w:t xml:space="preserve"> 41 (4): 491–534.</w:t>
      </w:r>
    </w:p>
    <w:p w:rsidR="00AD5AC9" w:rsidRDefault="00AD52EE">
      <w:pPr>
        <w:pStyle w:val="Bibliography"/>
      </w:pPr>
      <w:bookmarkStart w:id="78" w:name="ref-zaller"/>
      <w:bookmarkEnd w:id="77"/>
      <w:r>
        <w:t xml:space="preserve">Zaller, John R. 1992. </w:t>
      </w:r>
      <w:r>
        <w:rPr>
          <w:i/>
        </w:rPr>
        <w:t>The Nature and Origins of Mass Opinion</w:t>
      </w:r>
      <w:r>
        <w:t>. New York: Cambridge University Press.</w:t>
      </w:r>
    </w:p>
    <w:p w:rsidR="00070DDA" w:rsidRDefault="00070DDA">
      <w:pPr>
        <w:pStyle w:val="Bibliography"/>
      </w:pPr>
    </w:p>
    <w:p w:rsidR="00070DDA" w:rsidRDefault="00070DDA">
      <w:pPr>
        <w:rPr>
          <w:rFonts w:ascii="Times New Roman" w:hAnsi="Times New Roman" w:cs="Times New Roman"/>
        </w:rPr>
      </w:pPr>
      <w:r>
        <w:br w:type="page"/>
      </w:r>
    </w:p>
    <w:p w:rsidR="00070DDA" w:rsidRDefault="00070DDA" w:rsidP="00070DDA">
      <w:r>
        <w:rPr>
          <w:noProof/>
        </w:rPr>
        <w:lastRenderedPageBreak/>
        <w:drawing>
          <wp:inline distT="0" distB="0" distL="0" distR="0" wp14:anchorId="0A7A5B25" wp14:editId="13075AEC">
            <wp:extent cx="5943600" cy="3500525"/>
            <wp:effectExtent l="0" t="0" r="0" b="0"/>
            <wp:docPr id="1" name="Picture" descr="Figure 1: Different Models of Response Over Tim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dag-1.png"/>
                    <pic:cNvPicPr>
                      <a:picLocks noChangeAspect="1" noChangeArrowheads="1"/>
                    </pic:cNvPicPr>
                  </pic:nvPicPr>
                  <pic:blipFill>
                    <a:blip r:embed="rId8"/>
                    <a:stretch>
                      <a:fillRect/>
                    </a:stretch>
                  </pic:blipFill>
                  <pic:spPr bwMode="auto">
                    <a:xfrm>
                      <a:off x="0" y="0"/>
                      <a:ext cx="5943600" cy="3500525"/>
                    </a:xfrm>
                    <a:prstGeom prst="rect">
                      <a:avLst/>
                    </a:prstGeom>
                    <a:noFill/>
                    <a:ln w="9525">
                      <a:noFill/>
                      <a:headEnd/>
                      <a:tailEnd/>
                    </a:ln>
                  </pic:spPr>
                </pic:pic>
              </a:graphicData>
            </a:graphic>
          </wp:inline>
        </w:drawing>
      </w:r>
    </w:p>
    <w:p w:rsidR="00070DDA" w:rsidRDefault="00070DDA" w:rsidP="00070DDA">
      <w:pPr>
        <w:pStyle w:val="ImageCaption"/>
      </w:pPr>
      <w:r>
        <w:t>Figure 1: Different Models of Response Over Time</w:t>
      </w:r>
    </w:p>
    <w:p w:rsidR="00070DDA" w:rsidRDefault="00070DDA">
      <w:pPr>
        <w:pStyle w:val="Bibliography"/>
      </w:pPr>
    </w:p>
    <w:p w:rsidR="00070DDA" w:rsidRDefault="00070DDA" w:rsidP="00070DDA">
      <w:r>
        <w:rPr>
          <w:noProof/>
        </w:rPr>
        <w:drawing>
          <wp:inline distT="0" distB="0" distL="0" distR="0" wp14:anchorId="231AB45F" wp14:editId="52866F13">
            <wp:extent cx="5943600" cy="3500525"/>
            <wp:effectExtent l="0" t="0" r="0" b="0"/>
            <wp:docPr id="2" name="Picture" descr="Figure 2: Distribution of phi estimates and probabilities that items show evidence of active updating."/>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hihist-1.png"/>
                    <pic:cNvPicPr>
                      <a:picLocks noChangeAspect="1" noChangeArrowheads="1"/>
                    </pic:cNvPicPr>
                  </pic:nvPicPr>
                  <pic:blipFill>
                    <a:blip r:embed="rId9"/>
                    <a:stretch>
                      <a:fillRect/>
                    </a:stretch>
                  </pic:blipFill>
                  <pic:spPr bwMode="auto">
                    <a:xfrm>
                      <a:off x="0" y="0"/>
                      <a:ext cx="5943600" cy="3500525"/>
                    </a:xfrm>
                    <a:prstGeom prst="rect">
                      <a:avLst/>
                    </a:prstGeom>
                    <a:noFill/>
                    <a:ln w="9525">
                      <a:noFill/>
                      <a:headEnd/>
                      <a:tailEnd/>
                    </a:ln>
                  </pic:spPr>
                </pic:pic>
              </a:graphicData>
            </a:graphic>
          </wp:inline>
        </w:drawing>
      </w:r>
    </w:p>
    <w:p w:rsidR="00070DDA" w:rsidRDefault="00070DDA" w:rsidP="00070DDA">
      <w:pPr>
        <w:pStyle w:val="ImageCaption"/>
      </w:pPr>
      <w:r>
        <w:t>Figure 2: Distribution of phi estimates and probabilities that items show evidence of active updating.</w:t>
      </w:r>
    </w:p>
    <w:p w:rsidR="00070DDA" w:rsidRDefault="00070DDA" w:rsidP="00070DDA">
      <w:r>
        <w:rPr>
          <w:noProof/>
        </w:rPr>
        <w:lastRenderedPageBreak/>
        <w:drawing>
          <wp:inline distT="0" distB="0" distL="0" distR="0" wp14:anchorId="623358E8" wp14:editId="66E69631">
            <wp:extent cx="5943600" cy="7001050"/>
            <wp:effectExtent l="0" t="0" r="0" b="0"/>
            <wp:docPr id="3" name="Picture" descr="Figure 3: Comparison of phi estimates for individuals over and equal to to less than 30 years old."/>
            <wp:cNvGraphicFramePr/>
            <a:graphic xmlns:a="http://schemas.openxmlformats.org/drawingml/2006/main">
              <a:graphicData uri="http://schemas.openxmlformats.org/drawingml/2006/picture">
                <pic:pic xmlns:pic="http://schemas.openxmlformats.org/drawingml/2006/picture">
                  <pic:nvPicPr>
                    <pic:cNvPr id="0" name="Picture" descr="manuscript9_files/figure-docx/agegroupcomparison-1.png"/>
                    <pic:cNvPicPr>
                      <a:picLocks noChangeAspect="1" noChangeArrowheads="1"/>
                    </pic:cNvPicPr>
                  </pic:nvPicPr>
                  <pic:blipFill>
                    <a:blip r:embed="rId10"/>
                    <a:stretch>
                      <a:fillRect/>
                    </a:stretch>
                  </pic:blipFill>
                  <pic:spPr bwMode="auto">
                    <a:xfrm>
                      <a:off x="0" y="0"/>
                      <a:ext cx="5943600" cy="7001050"/>
                    </a:xfrm>
                    <a:prstGeom prst="rect">
                      <a:avLst/>
                    </a:prstGeom>
                    <a:noFill/>
                    <a:ln w="9525">
                      <a:noFill/>
                      <a:headEnd/>
                      <a:tailEnd/>
                    </a:ln>
                  </pic:spPr>
                </pic:pic>
              </a:graphicData>
            </a:graphic>
          </wp:inline>
        </w:drawing>
      </w:r>
    </w:p>
    <w:p w:rsidR="00070DDA" w:rsidRDefault="00070DDA" w:rsidP="00070DDA">
      <w:pPr>
        <w:pStyle w:val="ImageCaption"/>
      </w:pPr>
      <w:r>
        <w:t xml:space="preserve">Figure 3: Comparison of phi estimates for individuals over and equal to </w:t>
      </w:r>
      <w:proofErr w:type="spellStart"/>
      <w:r>
        <w:t>to</w:t>
      </w:r>
      <w:proofErr w:type="spellEnd"/>
      <w:r>
        <w:t xml:space="preserve"> less than 30 years old.</w:t>
      </w:r>
    </w:p>
    <w:p w:rsidR="00070DDA" w:rsidRDefault="00070DDA">
      <w:pPr>
        <w:pStyle w:val="Bibliography"/>
      </w:pPr>
    </w:p>
    <w:p w:rsidR="00070DDA" w:rsidRDefault="00070DDA" w:rsidP="00070DDA">
      <w:r>
        <w:rPr>
          <w:noProof/>
        </w:rPr>
        <w:lastRenderedPageBreak/>
        <w:drawing>
          <wp:inline distT="0" distB="0" distL="0" distR="0" wp14:anchorId="30CFB269" wp14:editId="2AFC2E61">
            <wp:extent cx="5943600" cy="5250787"/>
            <wp:effectExtent l="0" t="0" r="0" b="0"/>
            <wp:docPr id="4" name="Picture" descr="Figure 4: Distribution of beta and phi estimates for GSS items, by whether model prefers phi = .5 constraint."/>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hibetascatter-1.png"/>
                    <pic:cNvPicPr>
                      <a:picLocks noChangeAspect="1" noChangeArrowheads="1"/>
                    </pic:cNvPicPr>
                  </pic:nvPicPr>
                  <pic:blipFill>
                    <a:blip r:embed="rId11"/>
                    <a:stretch>
                      <a:fillRect/>
                    </a:stretch>
                  </pic:blipFill>
                  <pic:spPr bwMode="auto">
                    <a:xfrm>
                      <a:off x="0" y="0"/>
                      <a:ext cx="5943600" cy="5250787"/>
                    </a:xfrm>
                    <a:prstGeom prst="rect">
                      <a:avLst/>
                    </a:prstGeom>
                    <a:noFill/>
                    <a:ln w="9525">
                      <a:noFill/>
                      <a:headEnd/>
                      <a:tailEnd/>
                    </a:ln>
                  </pic:spPr>
                </pic:pic>
              </a:graphicData>
            </a:graphic>
          </wp:inline>
        </w:drawing>
      </w:r>
    </w:p>
    <w:p w:rsidR="00070DDA" w:rsidRDefault="00070DDA" w:rsidP="00070DDA">
      <w:pPr>
        <w:pStyle w:val="ImageCaption"/>
      </w:pPr>
      <w:r>
        <w:t>Figure 4: Distribution of beta and phi estimates for GSS items, by whether model prefers phi = .5 constraint.</w:t>
      </w:r>
    </w:p>
    <w:p w:rsidR="00070DDA" w:rsidRDefault="00070DDA">
      <w:pPr>
        <w:pStyle w:val="Bibliography"/>
      </w:pPr>
    </w:p>
    <w:p w:rsidR="00070DDA" w:rsidRDefault="00070DDA" w:rsidP="00070DDA">
      <w:r>
        <w:rPr>
          <w:noProof/>
        </w:rPr>
        <w:lastRenderedPageBreak/>
        <w:drawing>
          <wp:inline distT="0" distB="0" distL="0" distR="0" wp14:anchorId="44BDBBDF" wp14:editId="3DDD3BB8">
            <wp:extent cx="5943600" cy="7876181"/>
            <wp:effectExtent l="0" t="0" r="0" b="0"/>
            <wp:docPr id="5" name="Picture" descr="Figure 5: Summary of phi estimates for all items, by topical group."/>
            <wp:cNvGraphicFramePr/>
            <a:graphic xmlns:a="http://schemas.openxmlformats.org/drawingml/2006/main">
              <a:graphicData uri="http://schemas.openxmlformats.org/drawingml/2006/picture">
                <pic:pic xmlns:pic="http://schemas.openxmlformats.org/drawingml/2006/picture">
                  <pic:nvPicPr>
                    <pic:cNvPr id="0" name="Picture" descr="manuscript9_files/figure-docx/summary-1.png"/>
                    <pic:cNvPicPr>
                      <a:picLocks noChangeAspect="1" noChangeArrowheads="1"/>
                    </pic:cNvPicPr>
                  </pic:nvPicPr>
                  <pic:blipFill>
                    <a:blip r:embed="rId12"/>
                    <a:stretch>
                      <a:fillRect/>
                    </a:stretch>
                  </pic:blipFill>
                  <pic:spPr bwMode="auto">
                    <a:xfrm>
                      <a:off x="0" y="0"/>
                      <a:ext cx="5943600" cy="7876181"/>
                    </a:xfrm>
                    <a:prstGeom prst="rect">
                      <a:avLst/>
                    </a:prstGeom>
                    <a:noFill/>
                    <a:ln w="9525">
                      <a:noFill/>
                      <a:headEnd/>
                      <a:tailEnd/>
                    </a:ln>
                  </pic:spPr>
                </pic:pic>
              </a:graphicData>
            </a:graphic>
          </wp:inline>
        </w:drawing>
      </w:r>
    </w:p>
    <w:p w:rsidR="00070DDA" w:rsidRDefault="00070DDA" w:rsidP="00070DDA">
      <w:pPr>
        <w:pStyle w:val="ImageCaption"/>
      </w:pPr>
      <w:r>
        <w:t>Figure 5: Summary of phi estimates for all items, by topical group.</w:t>
      </w:r>
    </w:p>
    <w:p w:rsidR="00070DDA" w:rsidRDefault="00070DDA" w:rsidP="00070DDA">
      <w:r>
        <w:rPr>
          <w:noProof/>
        </w:rPr>
        <w:lastRenderedPageBreak/>
        <w:drawing>
          <wp:inline distT="0" distB="0" distL="0" distR="0" wp14:anchorId="2AFC744D" wp14:editId="32066F29">
            <wp:extent cx="5943600" cy="6792685"/>
            <wp:effectExtent l="0" t="0" r="0" b="0"/>
            <wp:docPr id="6" name="Picture" descr="Figure 6: Phi and beta estimates for 43 political attitudes and identities."/>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olvariables-1.png"/>
                    <pic:cNvPicPr>
                      <a:picLocks noChangeAspect="1" noChangeArrowheads="1"/>
                    </pic:cNvPicPr>
                  </pic:nvPicPr>
                  <pic:blipFill>
                    <a:blip r:embed="rId13"/>
                    <a:stretch>
                      <a:fillRect/>
                    </a:stretch>
                  </pic:blipFill>
                  <pic:spPr bwMode="auto">
                    <a:xfrm>
                      <a:off x="0" y="0"/>
                      <a:ext cx="5943600" cy="6792685"/>
                    </a:xfrm>
                    <a:prstGeom prst="rect">
                      <a:avLst/>
                    </a:prstGeom>
                    <a:noFill/>
                    <a:ln w="9525">
                      <a:noFill/>
                      <a:headEnd/>
                      <a:tailEnd/>
                    </a:ln>
                  </pic:spPr>
                </pic:pic>
              </a:graphicData>
            </a:graphic>
          </wp:inline>
        </w:drawing>
      </w:r>
    </w:p>
    <w:p w:rsidR="00070DDA" w:rsidRDefault="00070DDA" w:rsidP="00070DDA">
      <w:pPr>
        <w:pStyle w:val="ImageCaption"/>
      </w:pPr>
      <w:r>
        <w:t>Figure 6: Phi and beta estimates for 43 political attitudes and identities.</w:t>
      </w:r>
    </w:p>
    <w:p w:rsidR="00070DDA" w:rsidRDefault="00070DDA">
      <w:pPr>
        <w:pStyle w:val="Bibliography"/>
      </w:pPr>
    </w:p>
    <w:p w:rsidR="00070DDA" w:rsidRDefault="00070DDA" w:rsidP="00070DDA">
      <w:r>
        <w:rPr>
          <w:noProof/>
        </w:rPr>
        <w:lastRenderedPageBreak/>
        <w:drawing>
          <wp:inline distT="0" distB="0" distL="0" distR="0" wp14:anchorId="1EDF948C" wp14:editId="02527A95">
            <wp:extent cx="5943600" cy="7438615"/>
            <wp:effectExtent l="0" t="0" r="0" b="0"/>
            <wp:docPr id="7" name="Picture" descr="Figure 7: Phi estimates for items about religious activity and beliefs, social life, subjective SES, and suicid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religphi-1.png"/>
                    <pic:cNvPicPr>
                      <a:picLocks noChangeAspect="1" noChangeArrowheads="1"/>
                    </pic:cNvPicPr>
                  </pic:nvPicPr>
                  <pic:blipFill>
                    <a:blip r:embed="rId14"/>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7: Phi estimates for items about religious activity and beliefs, social life, subjective SES, and suicide.</w:t>
      </w:r>
    </w:p>
    <w:p w:rsidR="00070DDA" w:rsidRDefault="00070DDA" w:rsidP="00070DDA">
      <w:r>
        <w:rPr>
          <w:noProof/>
        </w:rPr>
        <w:lastRenderedPageBreak/>
        <w:drawing>
          <wp:inline distT="0" distB="0" distL="0" distR="0" wp14:anchorId="313550B0" wp14:editId="6565505F">
            <wp:extent cx="5943600" cy="7438615"/>
            <wp:effectExtent l="0" t="0" r="0" b="0"/>
            <wp:docPr id="8" name="Picture" descr="Figure 8: Phi estimates for items about guns, law, crime and policing; politics and government; and public spending."/>
            <wp:cNvGraphicFramePr/>
            <a:graphic xmlns:a="http://schemas.openxmlformats.org/drawingml/2006/main">
              <a:graphicData uri="http://schemas.openxmlformats.org/drawingml/2006/picture">
                <pic:pic xmlns:pic="http://schemas.openxmlformats.org/drawingml/2006/picture">
                  <pic:nvPicPr>
                    <pic:cNvPr id="0" name="Picture" descr="manuscript9_files/figure-docx/poliphi-1.png"/>
                    <pic:cNvPicPr>
                      <a:picLocks noChangeAspect="1" noChangeArrowheads="1"/>
                    </pic:cNvPicPr>
                  </pic:nvPicPr>
                  <pic:blipFill>
                    <a:blip r:embed="rId15"/>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8: Phi estimates for items about guns, law, crime and policing; politics and government; and public spending.</w:t>
      </w:r>
    </w:p>
    <w:p w:rsidR="00070DDA" w:rsidRDefault="00070DDA" w:rsidP="00070DDA">
      <w:r>
        <w:rPr>
          <w:noProof/>
        </w:rPr>
        <w:lastRenderedPageBreak/>
        <w:drawing>
          <wp:inline distT="0" distB="0" distL="0" distR="0" wp14:anchorId="7AC93495" wp14:editId="13F343CC">
            <wp:extent cx="5943600" cy="7438615"/>
            <wp:effectExtent l="0" t="0" r="0" b="0"/>
            <wp:docPr id="9" name="Picture" descr="Figure 9: Phi estimates for items about civil liberties, confidence in leadership, health, morale, and social trust."/>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ivlibphi-1.png"/>
                    <pic:cNvPicPr>
                      <a:picLocks noChangeAspect="1" noChangeArrowheads="1"/>
                    </pic:cNvPicPr>
                  </pic:nvPicPr>
                  <pic:blipFill>
                    <a:blip r:embed="rId16"/>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9: Phi estimates for items about civil liberties, confidence in leadership, health, morale, and social trust.</w:t>
      </w:r>
    </w:p>
    <w:p w:rsidR="00070DDA" w:rsidRDefault="00070DDA" w:rsidP="00070DDA">
      <w:r>
        <w:rPr>
          <w:noProof/>
        </w:rPr>
        <w:lastRenderedPageBreak/>
        <w:drawing>
          <wp:inline distT="0" distB="0" distL="0" distR="0" wp14:anchorId="767CB2C3" wp14:editId="28E2D1E3">
            <wp:extent cx="5943600" cy="7438615"/>
            <wp:effectExtent l="0" t="0" r="0" b="0"/>
            <wp:docPr id="10" name="Picture" descr="Figure 10: Phi estimates for items about race, gender, sex, sexuality, and abortion."/>
            <wp:cNvGraphicFramePr/>
            <a:graphic xmlns:a="http://schemas.openxmlformats.org/drawingml/2006/main">
              <a:graphicData uri="http://schemas.openxmlformats.org/drawingml/2006/picture">
                <pic:pic xmlns:pic="http://schemas.openxmlformats.org/drawingml/2006/picture">
                  <pic:nvPicPr>
                    <pic:cNvPr id="0" name="Picture" descr="manuscript9_files/figure-docx/racgenphi-1.png"/>
                    <pic:cNvPicPr>
                      <a:picLocks noChangeAspect="1" noChangeArrowheads="1"/>
                    </pic:cNvPicPr>
                  </pic:nvPicPr>
                  <pic:blipFill>
                    <a:blip r:embed="rId17"/>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10: Phi estimates for items about race, gender, sex, sexuality, and abortion.</w:t>
      </w:r>
    </w:p>
    <w:p w:rsidR="00070DDA" w:rsidRDefault="00070DDA">
      <w:pPr>
        <w:pStyle w:val="Bibliography"/>
      </w:pPr>
    </w:p>
    <w:p w:rsidR="00070DDA" w:rsidRDefault="00070DDA" w:rsidP="00070DDA">
      <w:r>
        <w:rPr>
          <w:noProof/>
        </w:rPr>
        <w:lastRenderedPageBreak/>
        <w:drawing>
          <wp:inline distT="0" distB="0" distL="0" distR="0" wp14:anchorId="5241033A" wp14:editId="2325A07D">
            <wp:extent cx="5943600" cy="7438615"/>
            <wp:effectExtent l="0" t="0" r="0" b="0"/>
            <wp:docPr id="11" name="Picture" descr="Figure 11: Phi estimates for coarsened questions about religion, subjective socioeconomic status, and morale."/>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relig-1.png"/>
                    <pic:cNvPicPr>
                      <a:picLocks noChangeAspect="1" noChangeArrowheads="1"/>
                    </pic:cNvPicPr>
                  </pic:nvPicPr>
                  <pic:blipFill>
                    <a:blip r:embed="rId18"/>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11: Phi estimates for coarsened questions about religion, subjective socioeconomic status, and morale.</w:t>
      </w:r>
    </w:p>
    <w:p w:rsidR="00070DDA" w:rsidRDefault="00070DDA" w:rsidP="00070DDA">
      <w:r>
        <w:rPr>
          <w:noProof/>
        </w:rPr>
        <w:lastRenderedPageBreak/>
        <w:drawing>
          <wp:inline distT="0" distB="0" distL="0" distR="0" wp14:anchorId="758A9BC5" wp14:editId="6186D5E4">
            <wp:extent cx="5943600" cy="7438615"/>
            <wp:effectExtent l="0" t="0" r="0" b="0"/>
            <wp:docPr id="12" name="Picture" descr="Figure 12: Phi estimates for coarsened questions about politics, government, sex and sexuality."/>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poli-1.png"/>
                    <pic:cNvPicPr>
                      <a:picLocks noChangeAspect="1" noChangeArrowheads="1"/>
                    </pic:cNvPicPr>
                  </pic:nvPicPr>
                  <pic:blipFill>
                    <a:blip r:embed="rId19"/>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12: Phi estimates for coarsened questions about politics, government, sex and sexuality.</w:t>
      </w:r>
    </w:p>
    <w:p w:rsidR="00070DDA" w:rsidRDefault="00070DDA" w:rsidP="00070DDA">
      <w:r>
        <w:rPr>
          <w:noProof/>
        </w:rPr>
        <w:lastRenderedPageBreak/>
        <w:drawing>
          <wp:inline distT="0" distB="0" distL="0" distR="0" wp14:anchorId="0CC87974" wp14:editId="01E800A8">
            <wp:extent cx="5943600" cy="7438615"/>
            <wp:effectExtent l="0" t="0" r="0" b="0"/>
            <wp:docPr id="13" name="Picture" descr="Figure 13: Phi estimates for coarsened questions about race and gender."/>
            <wp:cNvGraphicFramePr/>
            <a:graphic xmlns:a="http://schemas.openxmlformats.org/drawingml/2006/main">
              <a:graphicData uri="http://schemas.openxmlformats.org/drawingml/2006/picture">
                <pic:pic xmlns:pic="http://schemas.openxmlformats.org/drawingml/2006/picture">
                  <pic:nvPicPr>
                    <pic:cNvPr id="0" name="Picture" descr="manuscript9_files/figure-docx/coarseracgen-1.png"/>
                    <pic:cNvPicPr>
                      <a:picLocks noChangeAspect="1" noChangeArrowheads="1"/>
                    </pic:cNvPicPr>
                  </pic:nvPicPr>
                  <pic:blipFill>
                    <a:blip r:embed="rId20"/>
                    <a:stretch>
                      <a:fillRect/>
                    </a:stretch>
                  </pic:blipFill>
                  <pic:spPr bwMode="auto">
                    <a:xfrm>
                      <a:off x="0" y="0"/>
                      <a:ext cx="5943600" cy="7438615"/>
                    </a:xfrm>
                    <a:prstGeom prst="rect">
                      <a:avLst/>
                    </a:prstGeom>
                    <a:noFill/>
                    <a:ln w="9525">
                      <a:noFill/>
                      <a:headEnd/>
                      <a:tailEnd/>
                    </a:ln>
                  </pic:spPr>
                </pic:pic>
              </a:graphicData>
            </a:graphic>
          </wp:inline>
        </w:drawing>
      </w:r>
    </w:p>
    <w:p w:rsidR="00070DDA" w:rsidRDefault="00070DDA" w:rsidP="00070DDA">
      <w:pPr>
        <w:pStyle w:val="ImageCaption"/>
      </w:pPr>
      <w:r>
        <w:t>Figure 13: Phi estimates for coarsened questions about race and gender.</w:t>
      </w:r>
    </w:p>
    <w:bookmarkEnd w:id="30"/>
    <w:bookmarkEnd w:id="78"/>
    <w:p w:rsidR="00070DDA" w:rsidRDefault="00070DDA">
      <w:pPr>
        <w:pStyle w:val="Bibliography"/>
      </w:pPr>
    </w:p>
    <w:sectPr w:rsidR="00070DDA">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FDD" w:rsidRDefault="005B5FDD">
      <w:pPr>
        <w:spacing w:after="0"/>
      </w:pPr>
      <w:r>
        <w:separator/>
      </w:r>
    </w:p>
  </w:endnote>
  <w:endnote w:type="continuationSeparator" w:id="0">
    <w:p w:rsidR="005B5FDD" w:rsidRDefault="005B5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AD52EE"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5B5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AD52EE"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5B5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FDD" w:rsidRDefault="005B5FDD">
      <w:r>
        <w:separator/>
      </w:r>
    </w:p>
  </w:footnote>
  <w:footnote w:type="continuationSeparator" w:id="0">
    <w:p w:rsidR="005B5FDD" w:rsidRDefault="005B5FDD">
      <w:r>
        <w:continuationSeparator/>
      </w:r>
    </w:p>
  </w:footnote>
  <w:footnote w:id="1">
    <w:p w:rsidR="00AD5AC9" w:rsidRDefault="00AD52EE">
      <w:pPr>
        <w:pStyle w:val="FootnoteText"/>
      </w:pPr>
      <w:r>
        <w:rPr>
          <w:rStyle w:val="FootnoteReference"/>
        </w:rPr>
        <w:footnoteRef/>
      </w:r>
      <w:r>
        <w:t xml:space="preserve"> To ensure that our estimates of </w:t>
      </w:r>
      <m:oMath>
        <m:r>
          <w:rPr>
            <w:rFonts w:ascii="Cambria Math" w:hAnsi="Cambria Math"/>
          </w:rPr>
          <m:t>ϕ</m:t>
        </m:r>
      </m:oMath>
      <w:r>
        <w:t xml:space="preserve"> 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2">
    <w:p w:rsidR="00AD5AC9" w:rsidRPr="000F6795" w:rsidRDefault="00AD52EE">
      <w:pPr>
        <w:pStyle w:val="FootnoteText"/>
        <w:rPr>
          <w:rFonts w:ascii="Times New Roman" w:hAnsi="Times New Roman" w:cs="Times New Roman"/>
        </w:rPr>
      </w:pPr>
      <w:r w:rsidRPr="000F6795">
        <w:rPr>
          <w:rStyle w:val="FootnoteReference"/>
          <w:rFonts w:ascii="Times New Roman" w:hAnsi="Times New Roman" w:cs="Times New Roman"/>
        </w:rPr>
        <w:footnoteRef/>
      </w:r>
      <w:r w:rsidRPr="000F6795">
        <w:rPr>
          <w:rFonts w:ascii="Times New Roman" w:hAnsi="Times New Roman" w:cs="Times New Roman"/>
        </w:rPr>
        <w:t xml:space="preserve"> 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w:rPr>
            <w:rFonts w:ascii="Cambria Math" w:hAnsi="Cambria Math" w:cs="Times New Roman"/>
          </w:rPr>
          <m:t>&gt;0.9</m:t>
        </m:r>
      </m:oMath>
      <w:r w:rsidRPr="000F6795">
        <w:rPr>
          <w:rFonts w:ascii="Times New Roman" w:hAnsi="Times New Roman" w:cs="Times New Roman"/>
        </w:rPr>
        <w:t>) (Hout and Hastings 2016). For other items, such as confidence in the leadership of major companies (</w:t>
      </w:r>
      <m:oMath>
        <m:r>
          <w:rPr>
            <w:rFonts w:ascii="Cambria Math" w:hAnsi="Cambria Math" w:cs="Times New Roman"/>
          </w:rPr>
          <m:t>ϕ=.58</m:t>
        </m:r>
      </m:oMath>
      <w:r w:rsidRPr="000F6795">
        <w:rPr>
          <w:rFonts w:ascii="Times New Roman" w:hAnsi="Times New Roman" w:cs="Times New Roman"/>
        </w:rPr>
        <w:t>), reliability might be as low as 0.5. There is very little correlation (</w:t>
      </w:r>
      <m:oMath>
        <m:r>
          <w:rPr>
            <w:rFonts w:ascii="Cambria Math" w:hAnsi="Cambria Math" w:cs="Times New Roman"/>
          </w:rPr>
          <m:t>ρ=.165</m:t>
        </m:r>
      </m:oMath>
      <w:r w:rsidRPr="000F6795">
        <w:rPr>
          <w:rFonts w:ascii="Times New Roman" w:hAnsi="Times New Roman" w:cs="Times New Roman"/>
        </w:rPr>
        <w:t xml:space="preserve">) between our </w:t>
      </w:r>
      <m:oMath>
        <m:r>
          <w:rPr>
            <w:rFonts w:ascii="Cambria Math" w:hAnsi="Cambria Math" w:cs="Times New Roman"/>
          </w:rPr>
          <m:t>ϕ</m:t>
        </m:r>
      </m:oMath>
      <w:r w:rsidRPr="000F6795">
        <w:rPr>
          <w:rFonts w:ascii="Times New Roman" w:hAnsi="Times New Roman" w:cs="Times New Roman"/>
        </w:rPr>
        <w:t xml:space="preserve"> 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1AE401"/>
    <w:multiLevelType w:val="multilevel"/>
    <w:tmpl w:val="CE90E4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DDA"/>
    <w:rsid w:val="000F6795"/>
    <w:rsid w:val="001E5FA1"/>
    <w:rsid w:val="003D53A1"/>
    <w:rsid w:val="004E29B3"/>
    <w:rsid w:val="00590D07"/>
    <w:rsid w:val="005B5FDD"/>
    <w:rsid w:val="00784D58"/>
    <w:rsid w:val="008D6863"/>
    <w:rsid w:val="00950FAD"/>
    <w:rsid w:val="00AD52EE"/>
    <w:rsid w:val="00AD5AC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2649B"/>
  <w15:docId w15:val="{D7D7D11A-E42E-F648-B8D3-86E594A3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223D2-E3AF-7E48-AD75-7EE3D139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58</Pages>
  <Words>13535</Words>
  <Characters>77154</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cp:lastModifiedBy>Microsoft Office User</cp:lastModifiedBy>
  <cp:revision>5</cp:revision>
  <dcterms:created xsi:type="dcterms:W3CDTF">2019-12-11T14:34:00Z</dcterms:created>
  <dcterms:modified xsi:type="dcterms:W3CDTF">2019-12-11T14:47:00Z</dcterms:modified>
</cp:coreProperties>
</file>