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E2815" w14:textId="77777777" w:rsidR="00982A1D" w:rsidRDefault="00982A1D" w:rsidP="00982A1D">
      <w:pPr>
        <w:spacing w:line="480" w:lineRule="auto"/>
        <w:rPr>
          <w:rFonts w:ascii="Times New Roman" w:hAnsi="Times New Roman" w:cs="Times New Roman"/>
        </w:rPr>
      </w:pPr>
      <w:r>
        <w:rPr>
          <w:rFonts w:ascii="Times New Roman" w:hAnsi="Times New Roman" w:cs="Times New Roman"/>
        </w:rPr>
        <w:t>Data Science Capstone</w:t>
      </w:r>
    </w:p>
    <w:p w14:paraId="22D48466" w14:textId="77777777" w:rsidR="00982A1D" w:rsidRDefault="00982A1D" w:rsidP="00982A1D">
      <w:pPr>
        <w:spacing w:line="480" w:lineRule="auto"/>
        <w:rPr>
          <w:rFonts w:ascii="Times New Roman" w:hAnsi="Times New Roman" w:cs="Times New Roman"/>
        </w:rPr>
      </w:pPr>
      <w:r>
        <w:rPr>
          <w:rFonts w:ascii="Times New Roman" w:hAnsi="Times New Roman" w:cs="Times New Roman"/>
        </w:rPr>
        <w:t>Kevin Kirklin | Kyle Burbage</w:t>
      </w:r>
    </w:p>
    <w:p w14:paraId="4DE7FD91" w14:textId="44FD904B" w:rsidR="00982A1D" w:rsidRDefault="00982A1D" w:rsidP="00982A1D">
      <w:pPr>
        <w:spacing w:line="480" w:lineRule="auto"/>
        <w:jc w:val="center"/>
        <w:rPr>
          <w:rFonts w:ascii="Times New Roman" w:hAnsi="Times New Roman" w:cs="Times New Roman"/>
        </w:rPr>
      </w:pPr>
      <w:r>
        <w:rPr>
          <w:rFonts w:ascii="Times New Roman" w:hAnsi="Times New Roman" w:cs="Times New Roman"/>
        </w:rPr>
        <w:t xml:space="preserve">A Comparative Analysis </w:t>
      </w:r>
      <w:r w:rsidR="00DC0594">
        <w:rPr>
          <w:rFonts w:ascii="Times New Roman" w:hAnsi="Times New Roman" w:cs="Times New Roman"/>
        </w:rPr>
        <w:t>for</w:t>
      </w:r>
      <w:r>
        <w:rPr>
          <w:rFonts w:ascii="Times New Roman" w:hAnsi="Times New Roman" w:cs="Times New Roman"/>
        </w:rPr>
        <w:t xml:space="preserve"> Predicting Type 2 Diabetes</w:t>
      </w:r>
    </w:p>
    <w:p w14:paraId="57F78C93" w14:textId="77777777" w:rsidR="00982A1D" w:rsidRDefault="00982A1D" w:rsidP="00982A1D">
      <w:pPr>
        <w:spacing w:line="480" w:lineRule="auto"/>
        <w:rPr>
          <w:rFonts w:ascii="Times New Roman" w:hAnsi="Times New Roman" w:cs="Times New Roman"/>
        </w:rPr>
      </w:pPr>
    </w:p>
    <w:p w14:paraId="4ED8C8A1"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Introduction:</w:t>
      </w:r>
    </w:p>
    <w:p w14:paraId="6D95B189" w14:textId="3A0D49F0" w:rsidR="00982A1D" w:rsidRPr="00166F15" w:rsidRDefault="007D45BD" w:rsidP="00166F15">
      <w:pPr>
        <w:spacing w:before="80" w:after="80" w:line="480" w:lineRule="auto"/>
        <w:ind w:firstLine="720"/>
        <w:rPr>
          <w:rFonts w:ascii="Times New Roman" w:hAnsi="Times New Roman" w:cs="Times New Roman"/>
        </w:rPr>
      </w:pPr>
      <w:r>
        <w:rPr>
          <w:rFonts w:ascii="Times New Roman" w:hAnsi="Times New Roman" w:cs="Times New Roman"/>
        </w:rPr>
        <w:t>Type 2 diabetes (T2D)</w:t>
      </w:r>
      <w:r w:rsidR="00982A1D" w:rsidRPr="00166F15">
        <w:rPr>
          <w:rFonts w:ascii="Times New Roman" w:hAnsi="Times New Roman" w:cs="Times New Roman"/>
        </w:rPr>
        <w:t xml:space="preserve"> represents one of the most pressing chronic health challenges of the modern era within North America. According to the International Diabetes Federation, over 537 million adults worldwide were living with diabetes in 2021, with projections reaching 783 million by 2045. The vast majority are T</w:t>
      </w:r>
      <w:r w:rsidR="0026048A">
        <w:rPr>
          <w:rFonts w:ascii="Times New Roman" w:hAnsi="Times New Roman" w:cs="Times New Roman"/>
        </w:rPr>
        <w:t>2D</w:t>
      </w:r>
      <w:r w:rsidR="00982A1D" w:rsidRPr="00166F15">
        <w:rPr>
          <w:rFonts w:ascii="Times New Roman" w:hAnsi="Times New Roman" w:cs="Times New Roman"/>
        </w:rPr>
        <w:t xml:space="preserve"> cases</w:t>
      </w:r>
      <w:r w:rsidR="003C65B0" w:rsidRPr="00166F15">
        <w:rPr>
          <w:rFonts w:ascii="Times New Roman" w:hAnsi="Times New Roman" w:cs="Times New Roman"/>
        </w:rPr>
        <w:t xml:space="preserve">, </w:t>
      </w:r>
      <w:r w:rsidR="00982A1D" w:rsidRPr="00166F15">
        <w:rPr>
          <w:rFonts w:ascii="Times New Roman" w:hAnsi="Times New Roman" w:cs="Times New Roman"/>
        </w:rPr>
        <w:t xml:space="preserve">a metabolic disorder driven by insulin resistance and progressive pancreatic beta-cell dysfunction. Unlike Type 1, T2D is often preventable or delayable through lifestyle modification when identified early, making accurate risk prediction a clinically valuable goal. This project applies three machine learning models — Logistic Regression, LASSO Regression, and Random Forest to the </w:t>
      </w:r>
      <w:r w:rsidR="00982A1D" w:rsidRPr="00166F15">
        <w:rPr>
          <w:rFonts w:ascii="Times New Roman" w:hAnsi="Times New Roman" w:cs="Times New Roman"/>
          <w:i/>
          <w:iCs/>
        </w:rPr>
        <w:t>Pima Indians Diabetes Dataset</w:t>
      </w:r>
      <w:r w:rsidR="00982A1D" w:rsidRPr="00166F15">
        <w:rPr>
          <w:rFonts w:ascii="Times New Roman" w:hAnsi="Times New Roman" w:cs="Times New Roman"/>
        </w:rPr>
        <w:t>, a widely studied benchmark of 768 health measurements from Pima Indian women aged 21 and older. The Pima people of Arizona have one of the highest documented rates of T2D globally, making this population clinically informative for studying predictor importance. The analysis addresses two core research questions: (1) which clinical variables most strongly predict T2D across modeling approaches, and (2) which model best balances accuracy and interpretability for clinical screening</w:t>
      </w:r>
      <w:r w:rsidR="0031710B">
        <w:rPr>
          <w:rFonts w:ascii="Times New Roman" w:hAnsi="Times New Roman" w:cs="Times New Roman"/>
        </w:rPr>
        <w:t>?</w:t>
      </w:r>
      <w:r w:rsidR="00982A1D" w:rsidRPr="00166F15">
        <w:rPr>
          <w:rFonts w:ascii="Times New Roman" w:hAnsi="Times New Roman" w:cs="Times New Roman"/>
        </w:rPr>
        <w:t xml:space="preserve"> </w:t>
      </w:r>
    </w:p>
    <w:p w14:paraId="22C8C7F0" w14:textId="77777777" w:rsidR="00982A1D" w:rsidRPr="00166F15" w:rsidRDefault="00982A1D" w:rsidP="00166F15">
      <w:pPr>
        <w:spacing w:before="80" w:after="80" w:line="480" w:lineRule="auto"/>
        <w:rPr>
          <w:rFonts w:ascii="Times New Roman" w:hAnsi="Times New Roman" w:cs="Times New Roman"/>
        </w:rPr>
      </w:pPr>
    </w:p>
    <w:p w14:paraId="0BAAFCB6" w14:textId="77777777"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 xml:space="preserve">Data Overview: </w:t>
      </w:r>
    </w:p>
    <w:p w14:paraId="39AD8046" w14:textId="54EF3C89" w:rsidR="00982A1D" w:rsidRPr="00166F15" w:rsidRDefault="00982A1D" w:rsidP="00166F15">
      <w:pPr>
        <w:spacing w:before="80" w:after="80" w:line="480" w:lineRule="auto"/>
        <w:ind w:firstLine="720"/>
        <w:rPr>
          <w:rFonts w:ascii="Times New Roman" w:hAnsi="Times New Roman" w:cs="Times New Roman"/>
        </w:rPr>
      </w:pPr>
      <w:r w:rsidRPr="00166F15">
        <w:rPr>
          <w:rFonts w:ascii="Times New Roman" w:hAnsi="Times New Roman" w:cs="Times New Roman"/>
        </w:rPr>
        <w:lastRenderedPageBreak/>
        <w:t xml:space="preserve">The dataset used is </w:t>
      </w:r>
      <w:r w:rsidRPr="00166F15">
        <w:rPr>
          <w:rFonts w:ascii="Times New Roman" w:hAnsi="Times New Roman" w:cs="Times New Roman"/>
          <w:i/>
          <w:iCs/>
        </w:rPr>
        <w:t>PimaIndiansDiabetes2</w:t>
      </w:r>
      <w:r w:rsidRPr="00166F15">
        <w:rPr>
          <w:rFonts w:ascii="Times New Roman" w:hAnsi="Times New Roman" w:cs="Times New Roman"/>
        </w:rPr>
        <w:t xml:space="preserve">, </w:t>
      </w:r>
      <w:r w:rsidR="00166F15">
        <w:rPr>
          <w:rFonts w:ascii="Times New Roman" w:hAnsi="Times New Roman" w:cs="Times New Roman"/>
        </w:rPr>
        <w:t>originally</w:t>
      </w:r>
      <w:r w:rsidRPr="00166F15">
        <w:rPr>
          <w:rFonts w:ascii="Times New Roman" w:hAnsi="Times New Roman" w:cs="Times New Roman"/>
        </w:rPr>
        <w:t xml:space="preserve"> from the National Institute of Diabetes and Digestive and Kidney Diseases. It includes 768 observations, 8 numeric clinical predictors, and a binary outcome variable indicating diabetes diagnosis within five years.</w:t>
      </w:r>
    </w:p>
    <w:p w14:paraId="501ED312" w14:textId="77777777" w:rsidR="00982A1D" w:rsidRPr="00166F15" w:rsidRDefault="00982A1D" w:rsidP="00166F15">
      <w:pPr>
        <w:spacing w:before="80" w:line="480" w:lineRule="auto"/>
        <w:rPr>
          <w:rFonts w:ascii="Times New Roman" w:hAnsi="Times New Roman" w:cs="Times New Roman"/>
        </w:rPr>
      </w:pP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3"/>
        <w:gridCol w:w="5994"/>
        <w:gridCol w:w="1873"/>
      </w:tblGrid>
      <w:tr w:rsidR="00982A1D" w:rsidRPr="00166F15" w14:paraId="020FB45F"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944AFB"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b/>
                <w:bCs/>
                <w:color w:val="FFFFFF"/>
              </w:rPr>
              <w:t>Variable</w:t>
            </w:r>
          </w:p>
        </w:tc>
        <w:tc>
          <w:tcPr>
            <w:tcW w:w="599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90D592C"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b/>
                <w:bCs/>
                <w:color w:val="FFFFFF"/>
              </w:rPr>
              <w:t>Description</w:t>
            </w:r>
          </w:p>
        </w:tc>
        <w:tc>
          <w:tcPr>
            <w:tcW w:w="1873"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22CC97"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b/>
                <w:bCs/>
                <w:color w:val="FFFFFF"/>
              </w:rPr>
              <w:t>Type</w:t>
            </w:r>
          </w:p>
        </w:tc>
      </w:tr>
      <w:tr w:rsidR="00982A1D" w:rsidRPr="00166F15" w14:paraId="3B7BE2A4"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4933"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pregnant</w:t>
            </w:r>
          </w:p>
        </w:tc>
        <w:tc>
          <w:tcPr>
            <w:tcW w:w="5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FF534"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Number of pregnancies</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ECE45"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20461B83" w14:textId="77777777" w:rsidTr="00C81FE0">
        <w:trPr>
          <w:trHeight w:val="382"/>
        </w:trPr>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B2828D"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glucose</w:t>
            </w:r>
          </w:p>
        </w:tc>
        <w:tc>
          <w:tcPr>
            <w:tcW w:w="59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470DF3"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Plasma glucose (2-hr oral glucose tolerance test)</w:t>
            </w:r>
          </w:p>
        </w:tc>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EEFBFE"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6BE4662E"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3B12"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pressure</w:t>
            </w:r>
          </w:p>
        </w:tc>
        <w:tc>
          <w:tcPr>
            <w:tcW w:w="5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8EA26"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Diastolic blood pressure (mm Hg)</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B67A8"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058F94FA"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30DDDC"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triceps</w:t>
            </w:r>
          </w:p>
        </w:tc>
        <w:tc>
          <w:tcPr>
            <w:tcW w:w="59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BC112B"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Triceps skinfold thickness (mm)</w:t>
            </w:r>
          </w:p>
        </w:tc>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EB8D11"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3DE1E164"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2FF74"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insulin</w:t>
            </w:r>
          </w:p>
        </w:tc>
        <w:tc>
          <w:tcPr>
            <w:tcW w:w="5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EEDAB"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2-hour serum insulin (</w:t>
            </w:r>
            <w:proofErr w:type="spellStart"/>
            <w:r w:rsidRPr="00166F15">
              <w:rPr>
                <w:rFonts w:ascii="Times New Roman" w:hAnsi="Times New Roman" w:cs="Times New Roman"/>
              </w:rPr>
              <w:t>μU</w:t>
            </w:r>
            <w:proofErr w:type="spellEnd"/>
            <w:r w:rsidRPr="00166F15">
              <w:rPr>
                <w:rFonts w:ascii="Times New Roman" w:hAnsi="Times New Roman" w:cs="Times New Roman"/>
              </w:rPr>
              <w:t>/mL)</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7B96"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67B31FEF"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908023"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mass</w:t>
            </w:r>
          </w:p>
        </w:tc>
        <w:tc>
          <w:tcPr>
            <w:tcW w:w="59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908B24"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Body mass index (kg/m²)</w:t>
            </w:r>
          </w:p>
        </w:tc>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36C869"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2199EEE7"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D1214"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pedigree</w:t>
            </w:r>
          </w:p>
        </w:tc>
        <w:tc>
          <w:tcPr>
            <w:tcW w:w="59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B7C96"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Diabetes pedigree function (genetic risk score)</w:t>
            </w:r>
          </w:p>
        </w:tc>
        <w:tc>
          <w:tcPr>
            <w:tcW w:w="18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2883"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Continuous</w:t>
            </w:r>
          </w:p>
        </w:tc>
      </w:tr>
      <w:tr w:rsidR="00982A1D" w:rsidRPr="00166F15" w14:paraId="630BDA65" w14:textId="77777777" w:rsidTr="00C81FE0">
        <w:trPr>
          <w:trHeight w:val="389"/>
        </w:trPr>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6EC812"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diabetes</w:t>
            </w:r>
          </w:p>
        </w:tc>
        <w:tc>
          <w:tcPr>
            <w:tcW w:w="5994"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9FE1E34"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Diabetes diagnosis: pos / neg (outcome)</w:t>
            </w:r>
          </w:p>
        </w:tc>
        <w:tc>
          <w:tcPr>
            <w:tcW w:w="1873"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D96531" w14:textId="77777777"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Binary</w:t>
            </w:r>
          </w:p>
        </w:tc>
      </w:tr>
    </w:tbl>
    <w:p w14:paraId="7E21D802" w14:textId="77777777" w:rsidR="00C637ED" w:rsidRPr="00166F15" w:rsidRDefault="00C637ED" w:rsidP="00166F15">
      <w:pPr>
        <w:spacing w:before="80" w:after="80" w:line="480" w:lineRule="auto"/>
        <w:rPr>
          <w:rFonts w:ascii="Times New Roman" w:hAnsi="Times New Roman" w:cs="Times New Roman"/>
        </w:rPr>
      </w:pPr>
    </w:p>
    <w:p w14:paraId="4A9713AB" w14:textId="3B1CDB95"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 xml:space="preserve">The </w:t>
      </w:r>
      <w:r w:rsidRPr="00166F15">
        <w:rPr>
          <w:rFonts w:ascii="Times New Roman" w:hAnsi="Times New Roman" w:cs="Times New Roman"/>
          <w:i/>
          <w:iCs/>
        </w:rPr>
        <w:t>PimaIndiansDiabetes2</w:t>
      </w:r>
      <w:r w:rsidRPr="00166F15">
        <w:rPr>
          <w:rFonts w:ascii="Times New Roman" w:hAnsi="Times New Roman" w:cs="Times New Roman"/>
        </w:rPr>
        <w:t xml:space="preserve"> version correctly encodes biologically implausible zero values as NA, making missingness explicit. Insulin is missing in approximately 49% of records and triceps skinfold thickness in approximately 30%. Rather than list</w:t>
      </w:r>
      <w:r w:rsidR="004A3541">
        <w:rPr>
          <w:rFonts w:ascii="Times New Roman" w:hAnsi="Times New Roman" w:cs="Times New Roman"/>
        </w:rPr>
        <w:t xml:space="preserve"> wide</w:t>
      </w:r>
      <w:r w:rsidRPr="00166F15">
        <w:rPr>
          <w:rFonts w:ascii="Times New Roman" w:hAnsi="Times New Roman" w:cs="Times New Roman"/>
        </w:rPr>
        <w:t xml:space="preserve"> deletion (which would remove nearly half the dataset) or simple mean imputation, we applied Multiple Imputation by Chained Equations (MICE) using predictive mean matching across five. The mild class imbalance (</w:t>
      </w:r>
      <w:r w:rsidR="004A3541">
        <w:rPr>
          <w:rFonts w:ascii="Times New Roman" w:hAnsi="Times New Roman" w:cs="Times New Roman"/>
        </w:rPr>
        <w:t xml:space="preserve">about </w:t>
      </w:r>
      <w:r w:rsidRPr="00166F15">
        <w:rPr>
          <w:rFonts w:ascii="Times New Roman" w:hAnsi="Times New Roman" w:cs="Times New Roman"/>
        </w:rPr>
        <w:t>35% positive) was acknowledged but not corrected via resampling, as interpretability and cross-</w:t>
      </w:r>
      <w:r w:rsidRPr="00166F15">
        <w:rPr>
          <w:rFonts w:ascii="Times New Roman" w:hAnsi="Times New Roman" w:cs="Times New Roman"/>
        </w:rPr>
        <w:lastRenderedPageBreak/>
        <w:t>model comparison were the primary goals.</w:t>
      </w:r>
      <w:r w:rsidR="0065712A">
        <w:rPr>
          <w:rFonts w:ascii="Times New Roman" w:hAnsi="Times New Roman" w:cs="Times New Roman"/>
        </w:rPr>
        <w:t xml:space="preserve"> While this dataset is limited in some ways, such as its sheer number of observations as well as its missing data</w:t>
      </w:r>
      <w:r w:rsidR="00060A0E">
        <w:rPr>
          <w:rFonts w:ascii="Times New Roman" w:hAnsi="Times New Roman" w:cs="Times New Roman"/>
        </w:rPr>
        <w:t xml:space="preserve">, it is still the </w:t>
      </w:r>
      <w:r w:rsidR="00DD375C">
        <w:rPr>
          <w:rFonts w:ascii="Times New Roman" w:hAnsi="Times New Roman" w:cs="Times New Roman"/>
        </w:rPr>
        <w:t>ideal</w:t>
      </w:r>
      <w:r w:rsidR="00060A0E">
        <w:rPr>
          <w:rFonts w:ascii="Times New Roman" w:hAnsi="Times New Roman" w:cs="Times New Roman"/>
        </w:rPr>
        <w:t xml:space="preserve"> dataset to use for the purpose of this project due to the predictors being measured as well as the </w:t>
      </w:r>
      <w:r w:rsidR="00A97DE8">
        <w:rPr>
          <w:rFonts w:ascii="Times New Roman" w:hAnsi="Times New Roman" w:cs="Times New Roman"/>
        </w:rPr>
        <w:t>fact that Pima Indian women have one of the highest documented rates of T2D in the world.</w:t>
      </w:r>
    </w:p>
    <w:p w14:paraId="20DA5280" w14:textId="77777777" w:rsidR="00982A1D" w:rsidRPr="00166F15" w:rsidRDefault="00982A1D" w:rsidP="00166F15">
      <w:pPr>
        <w:spacing w:before="80" w:after="80" w:line="480" w:lineRule="auto"/>
        <w:rPr>
          <w:rFonts w:ascii="Times New Roman" w:hAnsi="Times New Roman" w:cs="Times New Roman"/>
        </w:rPr>
      </w:pPr>
    </w:p>
    <w:p w14:paraId="729BC7FF" w14:textId="77777777"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Methodology:</w:t>
      </w:r>
    </w:p>
    <w:p w14:paraId="5D54771F" w14:textId="48A2B9D0"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ab/>
        <w:t>The three models</w:t>
      </w:r>
      <w:r w:rsidR="00AB338E" w:rsidRPr="00166F15">
        <w:rPr>
          <w:rFonts w:ascii="Times New Roman" w:hAnsi="Times New Roman" w:cs="Times New Roman"/>
        </w:rPr>
        <w:t xml:space="preserve"> address both research questions simultaneously</w:t>
      </w:r>
      <w:r w:rsidRPr="00166F15">
        <w:rPr>
          <w:rFonts w:ascii="Times New Roman" w:hAnsi="Times New Roman" w:cs="Times New Roman"/>
        </w:rPr>
        <w:t xml:space="preserve"> </w:t>
      </w:r>
      <w:r w:rsidR="00AB338E">
        <w:rPr>
          <w:rFonts w:ascii="Times New Roman" w:hAnsi="Times New Roman" w:cs="Times New Roman"/>
        </w:rPr>
        <w:t>through</w:t>
      </w:r>
      <w:r w:rsidRPr="00166F15">
        <w:rPr>
          <w:rFonts w:ascii="Times New Roman" w:hAnsi="Times New Roman" w:cs="Times New Roman"/>
        </w:rPr>
        <w:t xml:space="preserve"> a deliberate spectrum from interpretable linear methods to flexible ensemble approaches</w:t>
      </w:r>
      <w:r w:rsidRPr="00AB338E">
        <w:rPr>
          <w:rFonts w:ascii="Times New Roman" w:hAnsi="Times New Roman" w:cs="Times New Roman"/>
        </w:rPr>
        <w:t xml:space="preserve">. Logistic Regression serves as the interpretable baseline, modeling log-odds of diabetes as a linear combination of predictors. Bidirectional stepwise selection using AIC automatically identifies the </w:t>
      </w:r>
      <w:r w:rsidR="00C31E31" w:rsidRPr="00AB338E">
        <w:rPr>
          <w:rFonts w:ascii="Times New Roman" w:hAnsi="Times New Roman" w:cs="Times New Roman"/>
        </w:rPr>
        <w:t>stingiest</w:t>
      </w:r>
      <w:r w:rsidRPr="00AB338E">
        <w:rPr>
          <w:rFonts w:ascii="Times New Roman" w:hAnsi="Times New Roman" w:cs="Times New Roman"/>
        </w:rPr>
        <w:t xml:space="preserve"> predictor set, reducing overfitting risk. LASSO Regression extends</w:t>
      </w:r>
      <w:r w:rsidRPr="00166F15">
        <w:rPr>
          <w:rFonts w:ascii="Times New Roman" w:hAnsi="Times New Roman" w:cs="Times New Roman"/>
        </w:rPr>
        <w:t xml:space="preserve"> logistic regression with an L1 penalty that progressively shrinks less informative coefficients to exactly zero, achieving simultaneous variable selection and regularization. The penalty strength was chosen via 10-fold cross</w:t>
      </w:r>
      <w:r w:rsidR="0014042C">
        <w:rPr>
          <w:rFonts w:ascii="Times New Roman" w:hAnsi="Times New Roman" w:cs="Times New Roman"/>
        </w:rPr>
        <w:t xml:space="preserve"> </w:t>
      </w:r>
      <w:r w:rsidRPr="00166F15">
        <w:rPr>
          <w:rFonts w:ascii="Times New Roman" w:hAnsi="Times New Roman" w:cs="Times New Roman"/>
        </w:rPr>
        <w:t xml:space="preserve">validation minimizing deviance. </w:t>
      </w:r>
      <w:r w:rsidRPr="00AB338E">
        <w:rPr>
          <w:rFonts w:ascii="Times New Roman" w:hAnsi="Times New Roman" w:cs="Times New Roman"/>
        </w:rPr>
        <w:t xml:space="preserve">Random Forest </w:t>
      </w:r>
      <w:r w:rsidRPr="00166F15">
        <w:rPr>
          <w:rFonts w:ascii="Times New Roman" w:hAnsi="Times New Roman" w:cs="Times New Roman"/>
        </w:rPr>
        <w:t>is a non-parametric ensemble of 500 decision trees trained on bootstrap samples with random feature subsampling. This approach reduces prediction variance and naturally captures non-linear relationships and feature interactions that linear models cannot represent. All three models used the same stratified 70/30 train/test split, the same MICE-imputed dataset, and the same random seed (123) to ensure results are directly comparable. For the normalized variable importance comparison, Logistic Regression and LASSO were refit on standardized predictors (mean = 0, SD = 1) so that coefficient</w:t>
      </w:r>
      <w:r w:rsidR="0014042C">
        <w:rPr>
          <w:rFonts w:ascii="Times New Roman" w:hAnsi="Times New Roman" w:cs="Times New Roman"/>
        </w:rPr>
        <w:t>s</w:t>
      </w:r>
      <w:r w:rsidRPr="00166F15">
        <w:rPr>
          <w:rFonts w:ascii="Times New Roman" w:hAnsi="Times New Roman" w:cs="Times New Roman"/>
        </w:rPr>
        <w:t xml:space="preserve"> </w:t>
      </w:r>
      <w:r w:rsidR="0014042C">
        <w:rPr>
          <w:rFonts w:ascii="Times New Roman" w:hAnsi="Times New Roman" w:cs="Times New Roman"/>
        </w:rPr>
        <w:t>are</w:t>
      </w:r>
      <w:r w:rsidRPr="00166F15">
        <w:rPr>
          <w:rFonts w:ascii="Times New Roman" w:hAnsi="Times New Roman" w:cs="Times New Roman"/>
        </w:rPr>
        <w:t xml:space="preserve"> comparable across models.</w:t>
      </w:r>
    </w:p>
    <w:p w14:paraId="0C6AD946" w14:textId="77777777" w:rsidR="00982A1D" w:rsidRPr="00166F15" w:rsidRDefault="00982A1D" w:rsidP="00166F15">
      <w:pPr>
        <w:spacing w:before="80" w:after="80" w:line="480" w:lineRule="auto"/>
        <w:rPr>
          <w:rFonts w:ascii="Times New Roman" w:hAnsi="Times New Roman" w:cs="Times New Roman"/>
        </w:rPr>
      </w:pPr>
    </w:p>
    <w:p w14:paraId="7A1E1350" w14:textId="77777777"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Results:</w:t>
      </w:r>
    </w:p>
    <w:p w14:paraId="6ED7EFCD" w14:textId="7DF2DEE1" w:rsidR="00982A1D" w:rsidRPr="00166F15" w:rsidRDefault="00A97DE8" w:rsidP="00904CC0">
      <w:pPr>
        <w:spacing w:before="80" w:after="80" w:line="480" w:lineRule="auto"/>
        <w:ind w:firstLine="720"/>
        <w:rPr>
          <w:rFonts w:ascii="Times New Roman" w:hAnsi="Times New Roman" w:cs="Times New Roman"/>
        </w:rPr>
      </w:pPr>
      <w:r w:rsidRPr="00CC00A1">
        <w:rPr>
          <w:rFonts w:ascii="Times New Roman" w:hAnsi="Times New Roman" w:cs="Times New Roman"/>
        </w:rPr>
        <w:lastRenderedPageBreak/>
        <w:drawing>
          <wp:anchor distT="0" distB="0" distL="114300" distR="114300" simplePos="0" relativeHeight="251660288" behindDoc="0" locked="0" layoutInCell="1" allowOverlap="1" wp14:anchorId="7966F83F" wp14:editId="1EA75408">
            <wp:simplePos x="0" y="0"/>
            <wp:positionH relativeFrom="margin">
              <wp:align>center</wp:align>
            </wp:positionH>
            <wp:positionV relativeFrom="paragraph">
              <wp:posOffset>2689860</wp:posOffset>
            </wp:positionV>
            <wp:extent cx="4640580" cy="4264025"/>
            <wp:effectExtent l="0" t="0" r="7620" b="3175"/>
            <wp:wrapSquare wrapText="bothSides"/>
            <wp:docPr id="15269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5540" name=""/>
                    <pic:cNvPicPr/>
                  </pic:nvPicPr>
                  <pic:blipFill>
                    <a:blip r:embed="rId5">
                      <a:extLst>
                        <a:ext uri="{28A0092B-C50C-407E-A947-70E740481C1C}">
                          <a14:useLocalDpi xmlns:a14="http://schemas.microsoft.com/office/drawing/2010/main" val="0"/>
                        </a:ext>
                      </a:extLst>
                    </a:blip>
                    <a:stretch>
                      <a:fillRect/>
                    </a:stretch>
                  </pic:blipFill>
                  <pic:spPr>
                    <a:xfrm>
                      <a:off x="0" y="0"/>
                      <a:ext cx="4640580" cy="4264025"/>
                    </a:xfrm>
                    <a:prstGeom prst="rect">
                      <a:avLst/>
                    </a:prstGeom>
                  </pic:spPr>
                </pic:pic>
              </a:graphicData>
            </a:graphic>
            <wp14:sizeRelH relativeFrom="margin">
              <wp14:pctWidth>0</wp14:pctWidth>
            </wp14:sizeRelH>
            <wp14:sizeRelV relativeFrom="margin">
              <wp14:pctHeight>0</wp14:pctHeight>
            </wp14:sizeRelV>
          </wp:anchor>
        </w:drawing>
      </w:r>
      <w:r w:rsidR="00982A1D" w:rsidRPr="00166F15">
        <w:rPr>
          <w:rFonts w:ascii="Times New Roman" w:hAnsi="Times New Roman" w:cs="Times New Roman"/>
        </w:rPr>
        <w:t xml:space="preserve">Density plots revealed that glucose provides the sharpest separation between diabetic and non-diabetic patients, with the diabetic distribution shifted </w:t>
      </w:r>
      <w:r w:rsidR="00663000">
        <w:rPr>
          <w:rFonts w:ascii="Times New Roman" w:hAnsi="Times New Roman" w:cs="Times New Roman"/>
        </w:rPr>
        <w:t>significantly</w:t>
      </w:r>
      <w:r w:rsidR="00982A1D" w:rsidRPr="00166F15">
        <w:rPr>
          <w:rFonts w:ascii="Times New Roman" w:hAnsi="Times New Roman" w:cs="Times New Roman"/>
        </w:rPr>
        <w:t xml:space="preserve"> rightward and </w:t>
      </w:r>
      <w:r w:rsidR="00663000">
        <w:rPr>
          <w:rFonts w:ascii="Times New Roman" w:hAnsi="Times New Roman" w:cs="Times New Roman"/>
        </w:rPr>
        <w:t>little to no</w:t>
      </w:r>
      <w:r w:rsidR="00982A1D" w:rsidRPr="00166F15">
        <w:rPr>
          <w:rFonts w:ascii="Times New Roman" w:hAnsi="Times New Roman" w:cs="Times New Roman"/>
        </w:rPr>
        <w:t xml:space="preserve"> overlap at the upper range. BMI and age showed meaningful separation, while blood pressure, triceps, and insulin showed considerably more overlap, suggesting weaker standalone discriminating power. </w:t>
      </w:r>
      <w:r w:rsidR="00D72FE2">
        <w:rPr>
          <w:rFonts w:ascii="Times New Roman" w:hAnsi="Times New Roman" w:cs="Times New Roman"/>
        </w:rPr>
        <w:t>A</w:t>
      </w:r>
      <w:r w:rsidR="00982A1D" w:rsidRPr="00166F15">
        <w:rPr>
          <w:rFonts w:ascii="Times New Roman" w:hAnsi="Times New Roman" w:cs="Times New Roman"/>
        </w:rPr>
        <w:t xml:space="preserve"> correlation heatmap </w:t>
      </w:r>
      <w:r w:rsidR="00D72FE2">
        <w:rPr>
          <w:rFonts w:ascii="Times New Roman" w:hAnsi="Times New Roman" w:cs="Times New Roman"/>
        </w:rPr>
        <w:t xml:space="preserve">also </w:t>
      </w:r>
      <w:r w:rsidR="00982A1D" w:rsidRPr="00166F15">
        <w:rPr>
          <w:rFonts w:ascii="Times New Roman" w:hAnsi="Times New Roman" w:cs="Times New Roman"/>
        </w:rPr>
        <w:t>confirmed that age and pregnancies are moderately correlated (r ≈ 0.54), and BMI and triceps are also moderately correlated (r ≈ 0.39</w:t>
      </w:r>
      <w:proofErr w:type="gramStart"/>
      <w:r w:rsidR="00982A1D" w:rsidRPr="00166F15">
        <w:rPr>
          <w:rFonts w:ascii="Times New Roman" w:hAnsi="Times New Roman" w:cs="Times New Roman"/>
        </w:rPr>
        <w:t>)</w:t>
      </w:r>
      <w:proofErr w:type="gramEnd"/>
      <w:r w:rsidR="00D72FE2">
        <w:rPr>
          <w:rFonts w:ascii="Times New Roman" w:hAnsi="Times New Roman" w:cs="Times New Roman"/>
        </w:rPr>
        <w:t xml:space="preserve"> and n</w:t>
      </w:r>
      <w:r w:rsidR="00982A1D" w:rsidRPr="00166F15">
        <w:rPr>
          <w:rFonts w:ascii="Times New Roman" w:hAnsi="Times New Roman" w:cs="Times New Roman"/>
        </w:rPr>
        <w:t>o pair exceeded r &gt; 0.80</w:t>
      </w:r>
      <w:r w:rsidR="00D72FE2">
        <w:rPr>
          <w:rFonts w:ascii="Times New Roman" w:hAnsi="Times New Roman" w:cs="Times New Roman"/>
        </w:rPr>
        <w:t>.</w:t>
      </w:r>
    </w:p>
    <w:p w14:paraId="6D178288" w14:textId="48DB7DF1" w:rsidR="00982A1D" w:rsidRDefault="00982A1D" w:rsidP="00CC00A1">
      <w:pPr>
        <w:spacing w:before="80" w:after="80" w:line="480" w:lineRule="auto"/>
        <w:jc w:val="center"/>
        <w:rPr>
          <w:rFonts w:ascii="Times New Roman" w:hAnsi="Times New Roman" w:cs="Times New Roman"/>
        </w:rPr>
      </w:pPr>
      <w:r w:rsidRPr="00166F15">
        <w:rPr>
          <w:rFonts w:ascii="Times New Roman" w:hAnsi="Times New Roman" w:cs="Times New Roman"/>
          <w:noProof/>
        </w:rPr>
        <w:lastRenderedPageBreak/>
        <w:drawing>
          <wp:inline distT="0" distB="0" distL="0" distR="0" wp14:anchorId="001446E1" wp14:editId="272988BA">
            <wp:extent cx="5361848" cy="3078480"/>
            <wp:effectExtent l="0" t="0" r="0" b="7620"/>
            <wp:docPr id="65903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6458" name=""/>
                    <pic:cNvPicPr/>
                  </pic:nvPicPr>
                  <pic:blipFill>
                    <a:blip r:embed="rId6"/>
                    <a:stretch>
                      <a:fillRect/>
                    </a:stretch>
                  </pic:blipFill>
                  <pic:spPr>
                    <a:xfrm>
                      <a:off x="0" y="0"/>
                      <a:ext cx="5361848" cy="3078480"/>
                    </a:xfrm>
                    <a:prstGeom prst="rect">
                      <a:avLst/>
                    </a:prstGeom>
                  </pic:spPr>
                </pic:pic>
              </a:graphicData>
            </a:graphic>
          </wp:inline>
        </w:drawing>
      </w:r>
    </w:p>
    <w:p w14:paraId="1A46ADC4" w14:textId="6D71501C" w:rsidR="00CC00A1" w:rsidRPr="00166F15" w:rsidRDefault="00CC00A1" w:rsidP="00CC00A1">
      <w:pPr>
        <w:spacing w:before="80" w:after="80" w:line="480" w:lineRule="auto"/>
        <w:jc w:val="center"/>
        <w:rPr>
          <w:rFonts w:ascii="Times New Roman" w:hAnsi="Times New Roman" w:cs="Times New Roman"/>
        </w:rPr>
      </w:pPr>
    </w:p>
    <w:p w14:paraId="39F78D5F" w14:textId="77777777" w:rsidR="00982A1D" w:rsidRPr="00166F15" w:rsidRDefault="00982A1D" w:rsidP="00166F15">
      <w:pPr>
        <w:spacing w:before="80" w:line="480" w:lineRule="auto"/>
        <w:rPr>
          <w:rFonts w:ascii="Times New Roman" w:hAnsi="Times New Roman" w:cs="Times New Roman"/>
        </w:rPr>
      </w:pPr>
    </w:p>
    <w:p w14:paraId="74442F00" w14:textId="26402899" w:rsidR="00982A1D" w:rsidRPr="00166F15" w:rsidRDefault="00982A1D" w:rsidP="00166F15">
      <w:pPr>
        <w:spacing w:before="80" w:after="80" w:line="480" w:lineRule="auto"/>
        <w:rPr>
          <w:rFonts w:ascii="Times New Roman" w:hAnsi="Times New Roman" w:cs="Times New Roman"/>
        </w:rPr>
      </w:pPr>
      <w:r w:rsidRPr="00FC6CAD">
        <w:rPr>
          <w:rFonts w:ascii="Times New Roman" w:hAnsi="Times New Roman" w:cs="Times New Roman"/>
        </w:rPr>
        <w:t>LASSO achieved the highest AUC (0.845),</w:t>
      </w:r>
      <w:r w:rsidRPr="00166F15">
        <w:rPr>
          <w:rFonts w:ascii="Times New Roman" w:hAnsi="Times New Roman" w:cs="Times New Roman"/>
        </w:rPr>
        <w:t xml:space="preserve"> followed closely by Logistic Regression (0.842), with Random Forest trailing at 0.827. The likely explanation is dataset size: with only ~540 training observations, Random Forest lacks sufficient data to reliably learn non-linear interactions. Its higher training accuracy (~0.98) </w:t>
      </w:r>
      <w:r w:rsidR="00EE4A40" w:rsidRPr="00166F15">
        <w:rPr>
          <w:rFonts w:ascii="Times New Roman" w:hAnsi="Times New Roman" w:cs="Times New Roman"/>
        </w:rPr>
        <w:t>compared</w:t>
      </w:r>
      <w:r w:rsidRPr="00166F15">
        <w:rPr>
          <w:rFonts w:ascii="Times New Roman" w:hAnsi="Times New Roman" w:cs="Times New Roman"/>
        </w:rPr>
        <w:t xml:space="preserve"> to test AUC is a textbook signature of mild overfitting. LASSO and Logistic Regression performed nearly identically, as expected when the true signal is sparse and predictors are relatively uncorrelated, LASSO converges toward ordinary logistic </w:t>
      </w:r>
      <w:r w:rsidR="00EE4A40">
        <w:rPr>
          <w:rFonts w:ascii="Times New Roman" w:hAnsi="Times New Roman" w:cs="Times New Roman"/>
        </w:rPr>
        <w:t>r</w:t>
      </w:r>
      <w:r w:rsidRPr="00166F15">
        <w:rPr>
          <w:rFonts w:ascii="Times New Roman" w:hAnsi="Times New Roman" w:cs="Times New Roman"/>
        </w:rPr>
        <w:t>egression.</w:t>
      </w:r>
    </w:p>
    <w:p w14:paraId="76CC0902" w14:textId="77777777"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noProof/>
        </w:rPr>
        <w:lastRenderedPageBreak/>
        <w:drawing>
          <wp:inline distT="0" distB="0" distL="0" distR="0" wp14:anchorId="1D4DC89C" wp14:editId="4C15C417">
            <wp:extent cx="5943600" cy="3690620"/>
            <wp:effectExtent l="0" t="0" r="0" b="5080"/>
            <wp:docPr id="86808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82511" name=""/>
                    <pic:cNvPicPr/>
                  </pic:nvPicPr>
                  <pic:blipFill rotWithShape="1">
                    <a:blip r:embed="rId7"/>
                    <a:srcRect t="2221"/>
                    <a:stretch>
                      <a:fillRect/>
                    </a:stretch>
                  </pic:blipFill>
                  <pic:spPr bwMode="auto">
                    <a:xfrm>
                      <a:off x="0" y="0"/>
                      <a:ext cx="5943600" cy="3690620"/>
                    </a:xfrm>
                    <a:prstGeom prst="rect">
                      <a:avLst/>
                    </a:prstGeom>
                    <a:ln>
                      <a:noFill/>
                    </a:ln>
                    <a:extLst>
                      <a:ext uri="{53640926-AAD7-44D8-BBD7-CCE9431645EC}">
                        <a14:shadowObscured xmlns:a14="http://schemas.microsoft.com/office/drawing/2010/main"/>
                      </a:ext>
                    </a:extLst>
                  </pic:spPr>
                </pic:pic>
              </a:graphicData>
            </a:graphic>
          </wp:inline>
        </w:drawing>
      </w:r>
    </w:p>
    <w:p w14:paraId="0C82953B" w14:textId="766B2670" w:rsidR="00982A1D"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All three models showed a common pattern: high specificity (~0.85) for correctly identifying non-diabetic patients, but lower sensitivity (~0.62–0.65) for detecting diabetic cases. In clinical screening, false negatives are generally more costly than false positives. The classification threshold could be lowered below 0.50 to trade specificity for improved sensitivity, a straightforward calibration requiring no retraining. The cross-model consistency of variable importance rankings is itself a key finding. When three methodologically distinct approaches, a linear probabilistic model, a penalized regression, and a non-parametric ensemble agree on predictor ordering, it substantially strengthens confidence that these rankings reflect true biological signal rather than modeling artifacts.</w:t>
      </w:r>
    </w:p>
    <w:p w14:paraId="2D8BD1D1" w14:textId="34D2A013" w:rsidR="006D6043" w:rsidRPr="00166F15" w:rsidRDefault="006D6043" w:rsidP="00166F15">
      <w:pPr>
        <w:spacing w:before="80" w:after="80" w:line="480" w:lineRule="auto"/>
        <w:rPr>
          <w:rFonts w:ascii="Times New Roman" w:eastAsiaTheme="minorHAnsi" w:hAnsi="Times New Roman" w:cs="Times New Roman"/>
        </w:rPr>
      </w:pPr>
      <w:r w:rsidRPr="006D6043">
        <w:rPr>
          <w:rFonts w:ascii="Times New Roman" w:eastAsiaTheme="minorHAnsi" w:hAnsi="Times New Roman" w:cs="Times New Roman"/>
          <w:noProof/>
        </w:rPr>
        <w:lastRenderedPageBreak/>
        <w:drawing>
          <wp:anchor distT="0" distB="0" distL="114300" distR="114300" simplePos="0" relativeHeight="251659264" behindDoc="0" locked="0" layoutInCell="1" allowOverlap="1" wp14:anchorId="0F53D8AA" wp14:editId="0C08F489">
            <wp:simplePos x="0" y="0"/>
            <wp:positionH relativeFrom="margin">
              <wp:align>center</wp:align>
            </wp:positionH>
            <wp:positionV relativeFrom="paragraph">
              <wp:posOffset>0</wp:posOffset>
            </wp:positionV>
            <wp:extent cx="4975860" cy="3143885"/>
            <wp:effectExtent l="0" t="0" r="0" b="0"/>
            <wp:wrapTopAndBottom/>
            <wp:docPr id="170429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96744" name=""/>
                    <pic:cNvPicPr/>
                  </pic:nvPicPr>
                  <pic:blipFill>
                    <a:blip r:embed="rId8">
                      <a:extLst>
                        <a:ext uri="{28A0092B-C50C-407E-A947-70E740481C1C}">
                          <a14:useLocalDpi xmlns:a14="http://schemas.microsoft.com/office/drawing/2010/main" val="0"/>
                        </a:ext>
                      </a:extLst>
                    </a:blip>
                    <a:stretch>
                      <a:fillRect/>
                    </a:stretch>
                  </pic:blipFill>
                  <pic:spPr>
                    <a:xfrm>
                      <a:off x="0" y="0"/>
                      <a:ext cx="4975860" cy="3143885"/>
                    </a:xfrm>
                    <a:prstGeom prst="rect">
                      <a:avLst/>
                    </a:prstGeom>
                  </pic:spPr>
                </pic:pic>
              </a:graphicData>
            </a:graphic>
          </wp:anchor>
        </w:drawing>
      </w:r>
    </w:p>
    <w:p w14:paraId="08A3A385" w14:textId="77777777" w:rsidR="00982A1D" w:rsidRPr="00166F15" w:rsidRDefault="00982A1D" w:rsidP="00166F15">
      <w:pPr>
        <w:spacing w:before="80" w:after="80" w:line="480" w:lineRule="auto"/>
        <w:rPr>
          <w:rFonts w:ascii="Times New Roman" w:hAnsi="Times New Roman" w:cs="Times New Roman"/>
        </w:rPr>
      </w:pPr>
    </w:p>
    <w:p w14:paraId="08C4E9CE" w14:textId="77777777" w:rsidR="00982A1D" w:rsidRPr="00166F15" w:rsidRDefault="00982A1D" w:rsidP="00166F15">
      <w:pPr>
        <w:spacing w:before="80" w:after="80" w:line="480" w:lineRule="auto"/>
        <w:rPr>
          <w:rFonts w:ascii="Times New Roman" w:hAnsi="Times New Roman" w:cs="Times New Roman"/>
        </w:rPr>
      </w:pPr>
      <w:r w:rsidRPr="00166F15">
        <w:rPr>
          <w:rFonts w:ascii="Times New Roman" w:hAnsi="Times New Roman" w:cs="Times New Roman"/>
        </w:rPr>
        <w:t>Conclusion:</w:t>
      </w:r>
    </w:p>
    <w:p w14:paraId="16DF230B" w14:textId="50A6782D" w:rsidR="0023658F" w:rsidRDefault="00982A1D" w:rsidP="00042182">
      <w:pPr>
        <w:spacing w:before="80" w:after="80" w:line="480" w:lineRule="auto"/>
        <w:rPr>
          <w:rFonts w:ascii="Times New Roman" w:hAnsi="Times New Roman" w:cs="Times New Roman"/>
        </w:rPr>
      </w:pPr>
      <w:r w:rsidRPr="00166F15">
        <w:rPr>
          <w:rFonts w:ascii="Times New Roman" w:hAnsi="Times New Roman" w:cs="Times New Roman"/>
        </w:rPr>
        <w:tab/>
      </w:r>
      <w:r w:rsidR="007A1F2C">
        <w:rPr>
          <w:rFonts w:ascii="Times New Roman" w:hAnsi="Times New Roman" w:cs="Times New Roman"/>
        </w:rPr>
        <w:t>Our results concluded that g</w:t>
      </w:r>
      <w:r w:rsidRPr="007A1F2C">
        <w:rPr>
          <w:rFonts w:ascii="Times New Roman" w:hAnsi="Times New Roman" w:cs="Times New Roman"/>
        </w:rPr>
        <w:t>lucose is the single most important predictor of Type 2 diabetes</w:t>
      </w:r>
      <w:r w:rsidRPr="00166F15">
        <w:rPr>
          <w:rFonts w:ascii="Times New Roman" w:hAnsi="Times New Roman" w:cs="Times New Roman"/>
        </w:rPr>
        <w:t>. Not merely the most statistically significant, but the most important by a wide margin across all three modeling frameworks. This aligns with clinical reality</w:t>
      </w:r>
      <w:r w:rsidR="007A1F2C">
        <w:rPr>
          <w:rFonts w:ascii="Times New Roman" w:hAnsi="Times New Roman" w:cs="Times New Roman"/>
        </w:rPr>
        <w:t>;</w:t>
      </w:r>
      <w:r w:rsidRPr="00166F15">
        <w:rPr>
          <w:rFonts w:ascii="Times New Roman" w:hAnsi="Times New Roman" w:cs="Times New Roman"/>
        </w:rPr>
        <w:t xml:space="preserve"> the oral glucose tolerance test is the primary diagnostic </w:t>
      </w:r>
      <w:r w:rsidR="007A1F2C">
        <w:rPr>
          <w:rFonts w:ascii="Times New Roman" w:hAnsi="Times New Roman" w:cs="Times New Roman"/>
        </w:rPr>
        <w:t>test</w:t>
      </w:r>
      <w:r w:rsidRPr="00166F15">
        <w:rPr>
          <w:rFonts w:ascii="Times New Roman" w:hAnsi="Times New Roman" w:cs="Times New Roman"/>
        </w:rPr>
        <w:t xml:space="preserve"> for T2D. BMI and age consistently ranked second and third, reflecting the well-established epidemiology: excess adiposity drives insulin resistance, and biological aging accelerates beta-cell decline. The diabetes pedigree function showed consistent moderate importance, validating the inclusion of genetic risk in clinical screening tools.</w:t>
      </w:r>
      <w:r w:rsidR="00042182">
        <w:rPr>
          <w:rFonts w:ascii="Times New Roman" w:hAnsi="Times New Roman" w:cs="Times New Roman"/>
        </w:rPr>
        <w:t xml:space="preserve"> </w:t>
      </w:r>
    </w:p>
    <w:p w14:paraId="4CCE45A1" w14:textId="00D1EC06" w:rsidR="004E3B5C" w:rsidRDefault="007D4667" w:rsidP="007D4667">
      <w:pPr>
        <w:spacing w:before="80" w:after="80" w:line="480" w:lineRule="auto"/>
        <w:jc w:val="center"/>
        <w:rPr>
          <w:rFonts w:ascii="Times New Roman" w:hAnsi="Times New Roman" w:cs="Times New Roman"/>
        </w:rPr>
      </w:pPr>
      <w:r w:rsidRPr="004E3B5C">
        <w:rPr>
          <w:rFonts w:ascii="Times New Roman" w:hAnsi="Times New Roman" w:cs="Times New Roman"/>
          <w:noProof/>
        </w:rPr>
        <w:lastRenderedPageBreak/>
        <w:drawing>
          <wp:inline distT="0" distB="0" distL="0" distR="0" wp14:anchorId="2E39DDBE" wp14:editId="7CFC944B">
            <wp:extent cx="5021580" cy="3025775"/>
            <wp:effectExtent l="0" t="0" r="7620" b="3175"/>
            <wp:docPr id="211929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7693" name=""/>
                    <pic:cNvPicPr/>
                  </pic:nvPicPr>
                  <pic:blipFill>
                    <a:blip r:embed="rId9">
                      <a:extLst>
                        <a:ext uri="{28A0092B-C50C-407E-A947-70E740481C1C}">
                          <a14:useLocalDpi xmlns:a14="http://schemas.microsoft.com/office/drawing/2010/main" val="0"/>
                        </a:ext>
                      </a:extLst>
                    </a:blip>
                    <a:stretch>
                      <a:fillRect/>
                    </a:stretch>
                  </pic:blipFill>
                  <pic:spPr>
                    <a:xfrm>
                      <a:off x="0" y="0"/>
                      <a:ext cx="5021580" cy="3025775"/>
                    </a:xfrm>
                    <a:prstGeom prst="rect">
                      <a:avLst/>
                    </a:prstGeom>
                  </pic:spPr>
                </pic:pic>
              </a:graphicData>
            </a:graphic>
          </wp:inline>
        </w:drawing>
      </w:r>
    </w:p>
    <w:p w14:paraId="52E4DC74" w14:textId="2DABE9B6" w:rsidR="005E268F" w:rsidRDefault="005E268F" w:rsidP="00042182">
      <w:pPr>
        <w:spacing w:before="80" w:after="80" w:line="480" w:lineRule="auto"/>
        <w:rPr>
          <w:rFonts w:ascii="Times New Roman" w:hAnsi="Times New Roman" w:cs="Times New Roman"/>
        </w:rPr>
      </w:pPr>
      <w:r>
        <w:rPr>
          <w:rFonts w:ascii="Times New Roman" w:hAnsi="Times New Roman" w:cs="Times New Roman"/>
        </w:rPr>
        <w:t xml:space="preserve">This result would conclude that one of the best </w:t>
      </w:r>
      <w:r w:rsidR="008A5D35">
        <w:rPr>
          <w:rFonts w:ascii="Times New Roman" w:hAnsi="Times New Roman" w:cs="Times New Roman"/>
        </w:rPr>
        <w:t>ways</w:t>
      </w:r>
      <w:r>
        <w:rPr>
          <w:rFonts w:ascii="Times New Roman" w:hAnsi="Times New Roman" w:cs="Times New Roman"/>
        </w:rPr>
        <w:t xml:space="preserve"> to prevent T2D </w:t>
      </w:r>
      <w:r w:rsidR="008A5D35">
        <w:rPr>
          <w:rFonts w:ascii="Times New Roman" w:hAnsi="Times New Roman" w:cs="Times New Roman"/>
        </w:rPr>
        <w:t xml:space="preserve">in an individual with high risk would be a potential change in diet. As if an individual is battling unstable glucose levels (often due to high insulin resistance) the best solution would be to integrate a diet that is lower in carbs and sugar, thus forcing the body to produce less natural insulin in order to fight the effects that high carb and sugar food have on </w:t>
      </w:r>
      <w:r w:rsidR="0031710B">
        <w:rPr>
          <w:rFonts w:ascii="Times New Roman" w:hAnsi="Times New Roman" w:cs="Times New Roman"/>
        </w:rPr>
        <w:t>one’s</w:t>
      </w:r>
      <w:r w:rsidR="008A5D35">
        <w:rPr>
          <w:rFonts w:ascii="Times New Roman" w:hAnsi="Times New Roman" w:cs="Times New Roman"/>
        </w:rPr>
        <w:t xml:space="preserve"> </w:t>
      </w:r>
      <w:r w:rsidR="0031710B">
        <w:rPr>
          <w:rFonts w:ascii="Times New Roman" w:hAnsi="Times New Roman" w:cs="Times New Roman"/>
        </w:rPr>
        <w:t>blood sugar</w:t>
      </w:r>
      <w:r w:rsidR="008A5D35">
        <w:rPr>
          <w:rFonts w:ascii="Times New Roman" w:hAnsi="Times New Roman" w:cs="Times New Roman"/>
        </w:rPr>
        <w:t>.</w:t>
      </w:r>
    </w:p>
    <w:p w14:paraId="6B602D97" w14:textId="22DB51FB" w:rsidR="00982A1D" w:rsidRPr="00166F15" w:rsidRDefault="005E268F" w:rsidP="005E268F">
      <w:pPr>
        <w:spacing w:before="80" w:after="80" w:line="480" w:lineRule="auto"/>
        <w:ind w:firstLine="720"/>
        <w:rPr>
          <w:rFonts w:ascii="Times New Roman" w:hAnsi="Times New Roman" w:cs="Times New Roman"/>
        </w:rPr>
      </w:pPr>
      <w:r>
        <w:rPr>
          <w:rFonts w:ascii="Times New Roman" w:hAnsi="Times New Roman" w:cs="Times New Roman"/>
        </w:rPr>
        <w:t xml:space="preserve"> </w:t>
      </w:r>
      <w:r w:rsidR="00982A1D" w:rsidRPr="00042182">
        <w:rPr>
          <w:rFonts w:ascii="Times New Roman" w:hAnsi="Times New Roman" w:cs="Times New Roman"/>
        </w:rPr>
        <w:t>On the modeling side, LASSO achieved the highest AUC (0.845),</w:t>
      </w:r>
      <w:r w:rsidR="00982A1D" w:rsidRPr="00166F15">
        <w:rPr>
          <w:rFonts w:ascii="Times New Roman" w:hAnsi="Times New Roman" w:cs="Times New Roman"/>
        </w:rPr>
        <w:t xml:space="preserve"> outperforming Random Forest (0.827) and edging out Logistic Regression (0.842). This contradicts the common assumption that ensemble methods will always outperform linear models. With fewer observations, Random Forest does not have sufficient data to reliably learn non-linear interactions, and its flexibility manifests as mild overfitting rather than better generalization. LASSO’s regularization keeps it from overcommitting to noise on this scale of data, that discipline pays off.</w:t>
      </w:r>
    </w:p>
    <w:p w14:paraId="7EC59813" w14:textId="77777777" w:rsidR="00042182" w:rsidRDefault="00042182" w:rsidP="00166F15">
      <w:pPr>
        <w:spacing w:line="480" w:lineRule="auto"/>
        <w:rPr>
          <w:rFonts w:ascii="Times New Roman" w:hAnsi="Times New Roman" w:cs="Times New Roman"/>
        </w:rPr>
      </w:pPr>
    </w:p>
    <w:p w14:paraId="63C1F230" w14:textId="1944C851" w:rsidR="00982A1D" w:rsidRPr="00166F15" w:rsidRDefault="00982A1D" w:rsidP="00166F15">
      <w:pPr>
        <w:spacing w:line="480" w:lineRule="auto"/>
        <w:rPr>
          <w:rFonts w:ascii="Times New Roman" w:hAnsi="Times New Roman" w:cs="Times New Roman"/>
        </w:rPr>
      </w:pPr>
      <w:r w:rsidRPr="00166F15">
        <w:rPr>
          <w:rFonts w:ascii="Times New Roman" w:hAnsi="Times New Roman" w:cs="Times New Roman"/>
        </w:rPr>
        <w:t>Future Direction:</w:t>
      </w:r>
    </w:p>
    <w:p w14:paraId="227510DA" w14:textId="2E1828BE" w:rsidR="00982A1D" w:rsidRPr="00166F15" w:rsidRDefault="00516765" w:rsidP="00166F15">
      <w:pPr>
        <w:spacing w:before="80" w:after="80" w:line="480" w:lineRule="auto"/>
        <w:rPr>
          <w:rFonts w:ascii="Times New Roman" w:hAnsi="Times New Roman" w:cs="Times New Roman"/>
        </w:rPr>
      </w:pPr>
      <w:r>
        <w:rPr>
          <w:rFonts w:ascii="Times New Roman" w:hAnsi="Times New Roman" w:cs="Times New Roman"/>
        </w:rPr>
        <w:lastRenderedPageBreak/>
        <w:t>Unfortunately, after completion of this project, there are several limitations to be noted</w:t>
      </w:r>
      <w:r w:rsidR="00982A1D" w:rsidRPr="00166F15">
        <w:rPr>
          <w:rFonts w:ascii="Times New Roman" w:hAnsi="Times New Roman" w:cs="Times New Roman"/>
        </w:rPr>
        <w:t xml:space="preserve">. The dataset is restricted to Pima Indian women aged 21 and older, limiting </w:t>
      </w:r>
      <w:r w:rsidR="001A6B3D">
        <w:rPr>
          <w:rFonts w:ascii="Times New Roman" w:hAnsi="Times New Roman" w:cs="Times New Roman"/>
        </w:rPr>
        <w:t>our analysis</w:t>
      </w:r>
      <w:r w:rsidR="00982A1D" w:rsidRPr="00166F15">
        <w:rPr>
          <w:rFonts w:ascii="Times New Roman" w:hAnsi="Times New Roman" w:cs="Times New Roman"/>
        </w:rPr>
        <w:t xml:space="preserve"> </w:t>
      </w:r>
      <w:r w:rsidR="001A6B3D">
        <w:rPr>
          <w:rFonts w:ascii="Times New Roman" w:hAnsi="Times New Roman" w:cs="Times New Roman"/>
        </w:rPr>
        <w:t>from</w:t>
      </w:r>
      <w:r w:rsidR="00982A1D" w:rsidRPr="00166F15">
        <w:rPr>
          <w:rFonts w:ascii="Times New Roman" w:hAnsi="Times New Roman" w:cs="Times New Roman"/>
        </w:rPr>
        <w:t xml:space="preserve"> broader or more diverse populations. The mild class imbalance (~35% positive) was not corrected</w:t>
      </w:r>
      <w:r>
        <w:rPr>
          <w:rFonts w:ascii="Times New Roman" w:hAnsi="Times New Roman" w:cs="Times New Roman"/>
        </w:rPr>
        <w:t>,</w:t>
      </w:r>
      <w:r w:rsidR="003D2C10">
        <w:rPr>
          <w:rFonts w:ascii="Times New Roman" w:hAnsi="Times New Roman" w:cs="Times New Roman"/>
        </w:rPr>
        <w:t xml:space="preserve"> and</w:t>
      </w:r>
      <w:r w:rsidR="00982A1D" w:rsidRPr="00166F15">
        <w:rPr>
          <w:rFonts w:ascii="Times New Roman" w:hAnsi="Times New Roman" w:cs="Times New Roman"/>
        </w:rPr>
        <w:t xml:space="preserve"> sensitivity could be improved with </w:t>
      </w:r>
      <w:r w:rsidR="003D2C10">
        <w:rPr>
          <w:rFonts w:ascii="Times New Roman" w:hAnsi="Times New Roman" w:cs="Times New Roman"/>
        </w:rPr>
        <w:t>a type of</w:t>
      </w:r>
      <w:r w:rsidR="00982A1D" w:rsidRPr="00166F15">
        <w:rPr>
          <w:rFonts w:ascii="Times New Roman" w:hAnsi="Times New Roman" w:cs="Times New Roman"/>
        </w:rPr>
        <w:t xml:space="preserve"> class-</w:t>
      </w:r>
      <w:r w:rsidR="003D2C10" w:rsidRPr="00166F15">
        <w:rPr>
          <w:rFonts w:ascii="Times New Roman" w:hAnsi="Times New Roman" w:cs="Times New Roman"/>
        </w:rPr>
        <w:t>weight</w:t>
      </w:r>
      <w:r w:rsidR="00982A1D" w:rsidRPr="00166F15">
        <w:rPr>
          <w:rFonts w:ascii="Times New Roman" w:hAnsi="Times New Roman" w:cs="Times New Roman"/>
        </w:rPr>
        <w:t xml:space="preserve"> training. MICE imputation of heavily missing variables (insulin 49%, triceps 30%) introduces some uncertainty, </w:t>
      </w:r>
      <w:r w:rsidR="00286799">
        <w:rPr>
          <w:rFonts w:ascii="Times New Roman" w:hAnsi="Times New Roman" w:cs="Times New Roman"/>
        </w:rPr>
        <w:t>even though</w:t>
      </w:r>
      <w:r w:rsidR="00982A1D" w:rsidRPr="00166F15">
        <w:rPr>
          <w:rFonts w:ascii="Times New Roman" w:hAnsi="Times New Roman" w:cs="Times New Roman"/>
        </w:rPr>
        <w:t xml:space="preserve"> it</w:t>
      </w:r>
      <w:r w:rsidR="00286799">
        <w:rPr>
          <w:rFonts w:ascii="Times New Roman" w:hAnsi="Times New Roman" w:cs="Times New Roman"/>
        </w:rPr>
        <w:t xml:space="preserve"> is still</w:t>
      </w:r>
      <w:r w:rsidR="00982A1D" w:rsidRPr="00166F15">
        <w:rPr>
          <w:rFonts w:ascii="Times New Roman" w:hAnsi="Times New Roman" w:cs="Times New Roman"/>
        </w:rPr>
        <w:t xml:space="preserve"> preferable to deletion or </w:t>
      </w:r>
      <w:r w:rsidR="00286799">
        <w:rPr>
          <w:rFonts w:ascii="Times New Roman" w:hAnsi="Times New Roman" w:cs="Times New Roman"/>
        </w:rPr>
        <w:t>replacing the missing values with zero</w:t>
      </w:r>
      <w:r w:rsidR="00982A1D" w:rsidRPr="00166F15">
        <w:rPr>
          <w:rFonts w:ascii="Times New Roman" w:hAnsi="Times New Roman" w:cs="Times New Roman"/>
        </w:rPr>
        <w:t>. No external validation set was used. Given more time and data, the most promising extensions would include class imbalance correction</w:t>
      </w:r>
      <w:r w:rsidR="003D2C10">
        <w:rPr>
          <w:rFonts w:ascii="Times New Roman" w:hAnsi="Times New Roman" w:cs="Times New Roman"/>
        </w:rPr>
        <w:t xml:space="preserve">, </w:t>
      </w:r>
      <w:r w:rsidR="00982A1D" w:rsidRPr="00166F15">
        <w:rPr>
          <w:rFonts w:ascii="Times New Roman" w:hAnsi="Times New Roman" w:cs="Times New Roman"/>
        </w:rPr>
        <w:t>threshold optimization to maximize</w:t>
      </w:r>
      <w:r w:rsidR="00286799">
        <w:rPr>
          <w:rFonts w:ascii="Times New Roman" w:hAnsi="Times New Roman" w:cs="Times New Roman"/>
        </w:rPr>
        <w:t xml:space="preserve"> possible</w:t>
      </w:r>
      <w:r w:rsidR="00982A1D" w:rsidRPr="00166F15">
        <w:rPr>
          <w:rFonts w:ascii="Times New Roman" w:hAnsi="Times New Roman" w:cs="Times New Roman"/>
        </w:rPr>
        <w:t xml:space="preserve"> clinical utility</w:t>
      </w:r>
      <w:r w:rsidR="003D2C10">
        <w:rPr>
          <w:rFonts w:ascii="Times New Roman" w:hAnsi="Times New Roman" w:cs="Times New Roman"/>
        </w:rPr>
        <w:t>,</w:t>
      </w:r>
      <w:r w:rsidR="00982A1D" w:rsidRPr="00166F15">
        <w:rPr>
          <w:rFonts w:ascii="Times New Roman" w:hAnsi="Times New Roman" w:cs="Times New Roman"/>
        </w:rPr>
        <w:t xml:space="preserve"> external validation on a more diverse population</w:t>
      </w:r>
      <w:r w:rsidR="003D2C10">
        <w:rPr>
          <w:rFonts w:ascii="Times New Roman" w:hAnsi="Times New Roman" w:cs="Times New Roman"/>
        </w:rPr>
        <w:t xml:space="preserve">, </w:t>
      </w:r>
      <w:r w:rsidR="00982A1D" w:rsidRPr="00166F15">
        <w:rPr>
          <w:rFonts w:ascii="Times New Roman" w:hAnsi="Times New Roman" w:cs="Times New Roman"/>
        </w:rPr>
        <w:t xml:space="preserve">and </w:t>
      </w:r>
      <w:r w:rsidR="00034D59">
        <w:rPr>
          <w:rFonts w:ascii="Times New Roman" w:hAnsi="Times New Roman" w:cs="Times New Roman"/>
        </w:rPr>
        <w:t>over time</w:t>
      </w:r>
      <w:r w:rsidR="00982A1D" w:rsidRPr="00166F15">
        <w:rPr>
          <w:rFonts w:ascii="Times New Roman" w:hAnsi="Times New Roman" w:cs="Times New Roman"/>
        </w:rPr>
        <w:t xml:space="preserve"> modeling to capture dynamic risk trajectories rather than static snapshots.</w:t>
      </w:r>
    </w:p>
    <w:p w14:paraId="2E12C08A" w14:textId="5C99948A" w:rsidR="0012478B" w:rsidRPr="00982A1D" w:rsidRDefault="0012478B" w:rsidP="00982A1D"/>
    <w:sectPr w:rsidR="0012478B" w:rsidRPr="00982A1D" w:rsidSect="003957B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bullet"/>
      <w:lvlText w:val="·"/>
      <w:lvlJc w:val="left"/>
      <w:pPr>
        <w:tabs>
          <w:tab w:val="num" w:pos="0"/>
        </w:tabs>
      </w:pPr>
      <w:rPr>
        <w:rFonts w:ascii="Symbol" w:hAnsi="Symbol" w:cs="Symbol"/>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1D9531B"/>
    <w:multiLevelType w:val="hybridMultilevel"/>
    <w:tmpl w:val="82FEE0EE"/>
    <w:lvl w:ilvl="0" w:tplc="CE089D50">
      <w:start w:val="1"/>
      <w:numFmt w:val="bullet"/>
      <w:lvlText w:val="●"/>
      <w:lvlJc w:val="left"/>
      <w:pPr>
        <w:ind w:left="720" w:hanging="360"/>
      </w:pPr>
    </w:lvl>
    <w:lvl w:ilvl="1" w:tplc="6F72E8E8">
      <w:start w:val="1"/>
      <w:numFmt w:val="bullet"/>
      <w:lvlText w:val="○"/>
      <w:lvlJc w:val="left"/>
      <w:pPr>
        <w:ind w:left="1440" w:hanging="360"/>
      </w:pPr>
    </w:lvl>
    <w:lvl w:ilvl="2" w:tplc="9926EEB6">
      <w:start w:val="1"/>
      <w:numFmt w:val="bullet"/>
      <w:lvlText w:val="■"/>
      <w:lvlJc w:val="left"/>
      <w:pPr>
        <w:ind w:left="2160" w:hanging="360"/>
      </w:pPr>
    </w:lvl>
    <w:lvl w:ilvl="3" w:tplc="671C190C">
      <w:start w:val="1"/>
      <w:numFmt w:val="bullet"/>
      <w:lvlText w:val="●"/>
      <w:lvlJc w:val="left"/>
      <w:pPr>
        <w:ind w:left="2880" w:hanging="360"/>
      </w:pPr>
    </w:lvl>
    <w:lvl w:ilvl="4" w:tplc="56E40454">
      <w:start w:val="1"/>
      <w:numFmt w:val="bullet"/>
      <w:lvlText w:val="○"/>
      <w:lvlJc w:val="left"/>
      <w:pPr>
        <w:ind w:left="3600" w:hanging="360"/>
      </w:pPr>
    </w:lvl>
    <w:lvl w:ilvl="5" w:tplc="6EB6A2C0">
      <w:start w:val="1"/>
      <w:numFmt w:val="bullet"/>
      <w:lvlText w:val="■"/>
      <w:lvlJc w:val="left"/>
      <w:pPr>
        <w:ind w:left="4320" w:hanging="360"/>
      </w:pPr>
    </w:lvl>
    <w:lvl w:ilvl="6" w:tplc="4ABEC614">
      <w:start w:val="1"/>
      <w:numFmt w:val="bullet"/>
      <w:lvlText w:val="●"/>
      <w:lvlJc w:val="left"/>
      <w:pPr>
        <w:ind w:left="5040" w:hanging="360"/>
      </w:pPr>
    </w:lvl>
    <w:lvl w:ilvl="7" w:tplc="630400D8">
      <w:start w:val="1"/>
      <w:numFmt w:val="bullet"/>
      <w:lvlText w:val="●"/>
      <w:lvlJc w:val="left"/>
      <w:pPr>
        <w:ind w:left="5760" w:hanging="360"/>
      </w:pPr>
    </w:lvl>
    <w:lvl w:ilvl="8" w:tplc="9D9A96D4">
      <w:start w:val="1"/>
      <w:numFmt w:val="bullet"/>
      <w:lvlText w:val="●"/>
      <w:lvlJc w:val="left"/>
      <w:pPr>
        <w:ind w:left="6480" w:hanging="360"/>
      </w:pPr>
    </w:lvl>
  </w:abstractNum>
  <w:abstractNum w:abstractNumId="28" w15:restartNumberingAfterBreak="0">
    <w:nsid w:val="51C65F11"/>
    <w:multiLevelType w:val="hybridMultilevel"/>
    <w:tmpl w:val="8F08ADD6"/>
    <w:lvl w:ilvl="0" w:tplc="8B0606A2">
      <w:start w:val="1"/>
      <w:numFmt w:val="decimal"/>
      <w:lvlText w:val="%1."/>
      <w:lvlJc w:val="left"/>
      <w:pPr>
        <w:ind w:left="720" w:hanging="360"/>
      </w:pPr>
    </w:lvl>
    <w:lvl w:ilvl="1" w:tplc="B05C6976">
      <w:numFmt w:val="decimal"/>
      <w:lvlText w:val=""/>
      <w:lvlJc w:val="left"/>
    </w:lvl>
    <w:lvl w:ilvl="2" w:tplc="5ED0E46C">
      <w:numFmt w:val="decimal"/>
      <w:lvlText w:val=""/>
      <w:lvlJc w:val="left"/>
    </w:lvl>
    <w:lvl w:ilvl="3" w:tplc="96B2CBCC">
      <w:numFmt w:val="decimal"/>
      <w:lvlText w:val=""/>
      <w:lvlJc w:val="left"/>
    </w:lvl>
    <w:lvl w:ilvl="4" w:tplc="EBCEE440">
      <w:numFmt w:val="decimal"/>
      <w:lvlText w:val=""/>
      <w:lvlJc w:val="left"/>
    </w:lvl>
    <w:lvl w:ilvl="5" w:tplc="F18E9C76">
      <w:numFmt w:val="decimal"/>
      <w:lvlText w:val=""/>
      <w:lvlJc w:val="left"/>
    </w:lvl>
    <w:lvl w:ilvl="6" w:tplc="CBBA1D26">
      <w:numFmt w:val="decimal"/>
      <w:lvlText w:val=""/>
      <w:lvlJc w:val="left"/>
    </w:lvl>
    <w:lvl w:ilvl="7" w:tplc="85BE5CFE">
      <w:numFmt w:val="decimal"/>
      <w:lvlText w:val=""/>
      <w:lvlJc w:val="left"/>
    </w:lvl>
    <w:lvl w:ilvl="8" w:tplc="DC1E1F00">
      <w:numFmt w:val="decimal"/>
      <w:lvlText w:val=""/>
      <w:lvlJc w:val="left"/>
    </w:lvl>
  </w:abstractNum>
  <w:abstractNum w:abstractNumId="29" w15:restartNumberingAfterBreak="0">
    <w:nsid w:val="69AB14C1"/>
    <w:multiLevelType w:val="hybridMultilevel"/>
    <w:tmpl w:val="D5A242E4"/>
    <w:lvl w:ilvl="0" w:tplc="A5E27D74">
      <w:start w:val="1"/>
      <w:numFmt w:val="bullet"/>
      <w:lvlText w:val="•"/>
      <w:lvlJc w:val="left"/>
      <w:pPr>
        <w:ind w:left="720" w:hanging="360"/>
      </w:pPr>
    </w:lvl>
    <w:lvl w:ilvl="1" w:tplc="379CB7BC">
      <w:numFmt w:val="decimal"/>
      <w:lvlText w:val=""/>
      <w:lvlJc w:val="left"/>
    </w:lvl>
    <w:lvl w:ilvl="2" w:tplc="41B2D5B6">
      <w:numFmt w:val="decimal"/>
      <w:lvlText w:val=""/>
      <w:lvlJc w:val="left"/>
    </w:lvl>
    <w:lvl w:ilvl="3" w:tplc="1E8C4482">
      <w:numFmt w:val="decimal"/>
      <w:lvlText w:val=""/>
      <w:lvlJc w:val="left"/>
    </w:lvl>
    <w:lvl w:ilvl="4" w:tplc="B714FADC">
      <w:numFmt w:val="decimal"/>
      <w:lvlText w:val=""/>
      <w:lvlJc w:val="left"/>
    </w:lvl>
    <w:lvl w:ilvl="5" w:tplc="72DE3E0C">
      <w:numFmt w:val="decimal"/>
      <w:lvlText w:val=""/>
      <w:lvlJc w:val="left"/>
    </w:lvl>
    <w:lvl w:ilvl="6" w:tplc="B65ED9C2">
      <w:numFmt w:val="decimal"/>
      <w:lvlText w:val=""/>
      <w:lvlJc w:val="left"/>
    </w:lvl>
    <w:lvl w:ilvl="7" w:tplc="A6325B22">
      <w:numFmt w:val="decimal"/>
      <w:lvlText w:val=""/>
      <w:lvlJc w:val="left"/>
    </w:lvl>
    <w:lvl w:ilvl="8" w:tplc="8478755A">
      <w:numFmt w:val="decimal"/>
      <w:lvlText w:val=""/>
      <w:lvlJc w:val="left"/>
    </w:lvl>
  </w:abstractNum>
  <w:num w:numId="1" w16cid:durableId="1704473805">
    <w:abstractNumId w:val="27"/>
    <w:lvlOverride w:ilvl="0">
      <w:startOverride w:val="1"/>
    </w:lvlOverride>
  </w:num>
  <w:num w:numId="2" w16cid:durableId="2005929522">
    <w:abstractNumId w:val="29"/>
    <w:lvlOverride w:ilvl="0">
      <w:startOverride w:val="1"/>
    </w:lvlOverride>
  </w:num>
  <w:num w:numId="3" w16cid:durableId="1183931597">
    <w:abstractNumId w:val="28"/>
    <w:lvlOverride w:ilvl="0">
      <w:startOverride w:val="1"/>
    </w:lvlOverride>
  </w:num>
  <w:num w:numId="4" w16cid:durableId="1020543017">
    <w:abstractNumId w:val="0"/>
  </w:num>
  <w:num w:numId="5" w16cid:durableId="351611417">
    <w:abstractNumId w:val="1"/>
  </w:num>
  <w:num w:numId="6" w16cid:durableId="1168442426">
    <w:abstractNumId w:val="2"/>
  </w:num>
  <w:num w:numId="7" w16cid:durableId="1301224464">
    <w:abstractNumId w:val="3"/>
  </w:num>
  <w:num w:numId="8" w16cid:durableId="1406689165">
    <w:abstractNumId w:val="4"/>
  </w:num>
  <w:num w:numId="9" w16cid:durableId="1589072011">
    <w:abstractNumId w:val="5"/>
  </w:num>
  <w:num w:numId="10" w16cid:durableId="636764094">
    <w:abstractNumId w:val="6"/>
  </w:num>
  <w:num w:numId="11" w16cid:durableId="686757366">
    <w:abstractNumId w:val="7"/>
  </w:num>
  <w:num w:numId="12" w16cid:durableId="732191824">
    <w:abstractNumId w:val="8"/>
  </w:num>
  <w:num w:numId="13" w16cid:durableId="670134627">
    <w:abstractNumId w:val="9"/>
  </w:num>
  <w:num w:numId="14" w16cid:durableId="1037238918">
    <w:abstractNumId w:val="10"/>
  </w:num>
  <w:num w:numId="15" w16cid:durableId="1965581084">
    <w:abstractNumId w:val="11"/>
  </w:num>
  <w:num w:numId="16" w16cid:durableId="1909343267">
    <w:abstractNumId w:val="12"/>
  </w:num>
  <w:num w:numId="17" w16cid:durableId="853763274">
    <w:abstractNumId w:val="13"/>
  </w:num>
  <w:num w:numId="18" w16cid:durableId="2007248701">
    <w:abstractNumId w:val="14"/>
  </w:num>
  <w:num w:numId="19" w16cid:durableId="2010909110">
    <w:abstractNumId w:val="15"/>
  </w:num>
  <w:num w:numId="20" w16cid:durableId="1143740078">
    <w:abstractNumId w:val="16"/>
  </w:num>
  <w:num w:numId="21" w16cid:durableId="1128234822">
    <w:abstractNumId w:val="17"/>
  </w:num>
  <w:num w:numId="22" w16cid:durableId="29041331">
    <w:abstractNumId w:val="18"/>
  </w:num>
  <w:num w:numId="23" w16cid:durableId="1634944839">
    <w:abstractNumId w:val="19"/>
  </w:num>
  <w:num w:numId="24" w16cid:durableId="920220356">
    <w:abstractNumId w:val="20"/>
  </w:num>
  <w:num w:numId="25" w16cid:durableId="204760338">
    <w:abstractNumId w:val="21"/>
  </w:num>
  <w:num w:numId="26" w16cid:durableId="638195501">
    <w:abstractNumId w:val="22"/>
  </w:num>
  <w:num w:numId="27" w16cid:durableId="1245528371">
    <w:abstractNumId w:val="23"/>
  </w:num>
  <w:num w:numId="28" w16cid:durableId="2041473866">
    <w:abstractNumId w:val="24"/>
  </w:num>
  <w:num w:numId="29" w16cid:durableId="980497358">
    <w:abstractNumId w:val="25"/>
  </w:num>
  <w:num w:numId="30" w16cid:durableId="6983124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8B"/>
    <w:rsid w:val="000241CC"/>
    <w:rsid w:val="00034D59"/>
    <w:rsid w:val="00042182"/>
    <w:rsid w:val="00060A0E"/>
    <w:rsid w:val="000625E1"/>
    <w:rsid w:val="0012478B"/>
    <w:rsid w:val="0014042C"/>
    <w:rsid w:val="00166F15"/>
    <w:rsid w:val="001A1855"/>
    <w:rsid w:val="001A6B3D"/>
    <w:rsid w:val="00227BD7"/>
    <w:rsid w:val="0023658F"/>
    <w:rsid w:val="0026048A"/>
    <w:rsid w:val="00286799"/>
    <w:rsid w:val="002D1FC5"/>
    <w:rsid w:val="002E45BE"/>
    <w:rsid w:val="003129DD"/>
    <w:rsid w:val="0031710B"/>
    <w:rsid w:val="00356075"/>
    <w:rsid w:val="00365979"/>
    <w:rsid w:val="0038581D"/>
    <w:rsid w:val="003957B0"/>
    <w:rsid w:val="003A7F8F"/>
    <w:rsid w:val="003C65B0"/>
    <w:rsid w:val="003D2C10"/>
    <w:rsid w:val="004A3541"/>
    <w:rsid w:val="004E3B5C"/>
    <w:rsid w:val="005003CA"/>
    <w:rsid w:val="00516765"/>
    <w:rsid w:val="00583D5C"/>
    <w:rsid w:val="005B6FD8"/>
    <w:rsid w:val="005E268F"/>
    <w:rsid w:val="0065712A"/>
    <w:rsid w:val="00663000"/>
    <w:rsid w:val="006D6043"/>
    <w:rsid w:val="00722E80"/>
    <w:rsid w:val="00753437"/>
    <w:rsid w:val="007A1F2C"/>
    <w:rsid w:val="007D45BD"/>
    <w:rsid w:val="007D4667"/>
    <w:rsid w:val="008A5D35"/>
    <w:rsid w:val="008B667E"/>
    <w:rsid w:val="00904CC0"/>
    <w:rsid w:val="00982A1D"/>
    <w:rsid w:val="009A4B75"/>
    <w:rsid w:val="009E3421"/>
    <w:rsid w:val="00A90C0F"/>
    <w:rsid w:val="00A961EE"/>
    <w:rsid w:val="00A97DE8"/>
    <w:rsid w:val="00AB338E"/>
    <w:rsid w:val="00B17059"/>
    <w:rsid w:val="00B4133C"/>
    <w:rsid w:val="00C31E31"/>
    <w:rsid w:val="00C637ED"/>
    <w:rsid w:val="00CC00A1"/>
    <w:rsid w:val="00D018DF"/>
    <w:rsid w:val="00D02E9D"/>
    <w:rsid w:val="00D555DD"/>
    <w:rsid w:val="00D72FE2"/>
    <w:rsid w:val="00DC0594"/>
    <w:rsid w:val="00DD375C"/>
    <w:rsid w:val="00DE54A0"/>
    <w:rsid w:val="00E94D66"/>
    <w:rsid w:val="00EC7861"/>
    <w:rsid w:val="00EE4A40"/>
    <w:rsid w:val="00F14243"/>
    <w:rsid w:val="00F35F84"/>
    <w:rsid w:val="00F5694D"/>
    <w:rsid w:val="00F70093"/>
    <w:rsid w:val="00FB13F0"/>
    <w:rsid w:val="00FC2C44"/>
    <w:rsid w:val="00FC6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310C"/>
  <w15:docId w15:val="{6B4CDA04-CB87-4302-85CC-D7CACADF8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788"/>
      <w:sz w:val="32"/>
      <w:szCs w:val="32"/>
    </w:rPr>
  </w:style>
  <w:style w:type="paragraph" w:styleId="Heading2">
    <w:name w:val="heading 2"/>
    <w:uiPriority w:val="9"/>
    <w:unhideWhenUsed/>
    <w:qFormat/>
    <w:pPr>
      <w:spacing w:before="360" w:after="180"/>
      <w:outlineLvl w:val="1"/>
    </w:pPr>
    <w:rPr>
      <w:b/>
      <w:bCs/>
      <w:color w:val="2E5C8A"/>
      <w:sz w:val="28"/>
      <w:szCs w:val="28"/>
    </w:rPr>
  </w:style>
  <w:style w:type="paragraph" w:styleId="Heading3">
    <w:name w:val="heading 3"/>
    <w:uiPriority w:val="9"/>
    <w:unhideWhenUsed/>
    <w:qFormat/>
    <w:pPr>
      <w:spacing w:before="240" w:after="120"/>
      <w:outlineLvl w:val="2"/>
    </w:pPr>
    <w:rPr>
      <w:b/>
      <w:bCs/>
      <w:color w:val="3D6FA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8587</TotalTime>
  <Pages>9</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Kirklin, Kevin R</cp:lastModifiedBy>
  <cp:revision>64</cp:revision>
  <dcterms:created xsi:type="dcterms:W3CDTF">2026-03-30T17:45:00Z</dcterms:created>
  <dcterms:modified xsi:type="dcterms:W3CDTF">2026-05-06T18:14:00Z</dcterms:modified>
</cp:coreProperties>
</file>