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CE89F" w14:textId="77777777" w:rsidR="007A62C1" w:rsidRDefault="00B74B58">
      <w:r>
        <w:t>Kenneth Luna</w:t>
      </w:r>
    </w:p>
    <w:p w14:paraId="1EFEEAF2" w14:textId="77777777" w:rsidR="00B74B58" w:rsidRDefault="00B74B58"/>
    <w:p w14:paraId="62937F2D" w14:textId="100AB7D5" w:rsidR="00B74B58" w:rsidRDefault="00420E6B" w:rsidP="003F66A3">
      <w:pPr>
        <w:spacing w:line="480" w:lineRule="auto"/>
        <w:jc w:val="both"/>
      </w:pPr>
      <w:r>
        <w:tab/>
      </w:r>
      <w:r w:rsidR="00B74B58">
        <w:t>The data selected f</w:t>
      </w:r>
      <w:r w:rsidR="001A04F9">
        <w:t>or this time series exercise is</w:t>
      </w:r>
      <w:r w:rsidR="00B74B58">
        <w:t xml:space="preserve"> NYC 311 Calls starting from January 2010 until </w:t>
      </w:r>
      <w:r w:rsidR="001A04F9">
        <w:t xml:space="preserve">the </w:t>
      </w:r>
      <w:r w:rsidR="00B74B58">
        <w:t>end</w:t>
      </w:r>
      <w:r w:rsidR="001A04F9">
        <w:t xml:space="preserve"> of</w:t>
      </w:r>
      <w:r w:rsidR="00B74B58">
        <w:t xml:space="preserve"> March 2015.</w:t>
      </w:r>
      <w:r w:rsidR="00B74B58" w:rsidRPr="00B74B58">
        <w:rPr>
          <w:rStyle w:val="FootnoteReference"/>
        </w:rPr>
        <w:t xml:space="preserve"> </w:t>
      </w:r>
      <w:r w:rsidR="00B74B58">
        <w:rPr>
          <w:rStyle w:val="FootnoteReference"/>
        </w:rPr>
        <w:footnoteReference w:id="1"/>
      </w:r>
      <w:r w:rsidR="00B74B58">
        <w:t xml:space="preserve">  The dataset was not filtered for complaint ty</w:t>
      </w:r>
      <w:r w:rsidR="001A04F9">
        <w:t>pe; therefore the data contains</w:t>
      </w:r>
      <w:r w:rsidR="00B74B58">
        <w:t xml:space="preserve"> calls ranging from heating, noise, traffic etc.  An initial dataset contained </w:t>
      </w:r>
      <w:r w:rsidR="00273411">
        <w:t xml:space="preserve">only housing </w:t>
      </w:r>
      <w:r w:rsidR="00B74B58">
        <w:t>complaints to the NYC Housing Preservation and Development Agency but it was decided that exclusion of other complaints would limit some interesting characteristics of call patterns</w:t>
      </w:r>
      <w:r w:rsidR="00273411">
        <w:t xml:space="preserve"> to 311</w:t>
      </w:r>
      <w:r w:rsidR="00B74B58">
        <w:t xml:space="preserve">.  This will be discussed later </w:t>
      </w:r>
      <w:r w:rsidR="00273411">
        <w:t>in the paper when we adjust for seasonality.</w:t>
      </w:r>
      <w:r w:rsidR="00B74B58">
        <w:t xml:space="preserve"> </w:t>
      </w:r>
    </w:p>
    <w:p w14:paraId="66AA02B8" w14:textId="05790584" w:rsidR="00367FEE" w:rsidRDefault="00420E6B" w:rsidP="003F66A3">
      <w:pPr>
        <w:spacing w:line="480" w:lineRule="auto"/>
        <w:jc w:val="both"/>
      </w:pPr>
      <w:r>
        <w:tab/>
      </w:r>
      <w:r w:rsidR="00B74B58">
        <w:t xml:space="preserve">The length of the dataset was 68 observations after grouping by month and year.  </w:t>
      </w:r>
      <w:r w:rsidR="00367FEE">
        <w:t>The date was read as a factor type but was converted to a date value using R’s as.Date() function.   The last observation was removed from the data set as it contained data for only April 1</w:t>
      </w:r>
      <w:r w:rsidR="00367FEE" w:rsidRPr="00367FEE">
        <w:rPr>
          <w:vertAlign w:val="superscript"/>
        </w:rPr>
        <w:t>st</w:t>
      </w:r>
      <w:r w:rsidR="001A04F9">
        <w:t xml:space="preserve"> 2015.  </w:t>
      </w:r>
    </w:p>
    <w:p w14:paraId="1701ABAB" w14:textId="3819BB9A" w:rsidR="005361DF" w:rsidRDefault="00420E6B" w:rsidP="003F66A3">
      <w:pPr>
        <w:spacing w:line="480" w:lineRule="auto"/>
        <w:jc w:val="both"/>
      </w:pPr>
      <w:r>
        <w:rPr>
          <w:b/>
        </w:rPr>
        <w:tab/>
      </w:r>
      <w:r w:rsidR="00367FEE" w:rsidRPr="00367FEE">
        <w:rPr>
          <w:b/>
        </w:rPr>
        <w:t>Figure 1</w:t>
      </w:r>
      <w:r w:rsidR="00367FEE">
        <w:t xml:space="preserve"> highlights the preliminary time series plot for 311 calls.  </w:t>
      </w:r>
      <w:r w:rsidR="001A04F9">
        <w:t>What</w:t>
      </w:r>
      <w:r w:rsidR="00367FEE">
        <w:t xml:space="preserve"> first</w:t>
      </w:r>
      <w:r w:rsidR="001A04F9">
        <w:t xml:space="preserve"> stands out in the</w:t>
      </w:r>
      <w:r w:rsidR="00367FEE">
        <w:t xml:space="preserve"> plot is that 311 calls from 2010 </w:t>
      </w:r>
      <w:r w:rsidR="001A04F9">
        <w:t>to present day show</w:t>
      </w:r>
      <w:r w:rsidR="00367FEE">
        <w:t xml:space="preserve"> </w:t>
      </w:r>
      <w:r w:rsidR="001A04F9">
        <w:t>seasonal characteristics</w:t>
      </w:r>
      <w:r w:rsidR="00367FEE">
        <w:t xml:space="preserve">.  The volume of 311 calls appears to increase during the winter and </w:t>
      </w:r>
      <w:r w:rsidR="001A04F9">
        <w:t xml:space="preserve">the </w:t>
      </w:r>
      <w:r w:rsidR="00367FEE">
        <w:t>summer</w:t>
      </w:r>
      <w:r w:rsidR="00273411">
        <w:t>, but then</w:t>
      </w:r>
      <w:r w:rsidR="00367FEE">
        <w:t xml:space="preserve"> dro</w:t>
      </w:r>
      <w:r w:rsidR="005361DF">
        <w:t xml:space="preserve">ps off during </w:t>
      </w:r>
      <w:r w:rsidR="001A04F9">
        <w:t xml:space="preserve">the </w:t>
      </w:r>
      <w:r w:rsidR="005361DF">
        <w:t>spring and fall.  Furthermore, there appears to be several shocks in the dataset</w:t>
      </w:r>
      <w:r w:rsidR="00273411">
        <w:t>,</w:t>
      </w:r>
      <w:r w:rsidR="005361DF">
        <w:t xml:space="preserve"> </w:t>
      </w:r>
      <w:r w:rsidR="00273411">
        <w:t>which correspond to severe snow</w:t>
      </w:r>
      <w:r w:rsidR="005361DF">
        <w:t>storms in NYC.  To</w:t>
      </w:r>
      <w:r w:rsidR="001A04F9">
        <w:t xml:space="preserve"> handle this volatility and seasonality</w:t>
      </w:r>
      <w:r w:rsidR="005361DF">
        <w:t xml:space="preserve">, the log of 311 calls will also be evaluated.  </w:t>
      </w:r>
    </w:p>
    <w:p w14:paraId="0D039A50" w14:textId="065BDE82" w:rsidR="005361DF" w:rsidRDefault="00420E6B" w:rsidP="003F66A3">
      <w:pPr>
        <w:spacing w:line="480" w:lineRule="auto"/>
        <w:jc w:val="both"/>
      </w:pPr>
      <w:r>
        <w:rPr>
          <w:b/>
        </w:rPr>
        <w:tab/>
      </w:r>
      <w:r w:rsidR="005361DF">
        <w:rPr>
          <w:b/>
        </w:rPr>
        <w:t xml:space="preserve">Figure 2 </w:t>
      </w:r>
      <w:r w:rsidR="005361DF">
        <w:t>shows the time series plot for the log of 311 calls.  There is not much difference between the log of 311 calls v</w:t>
      </w:r>
      <w:r w:rsidR="003E5A63">
        <w:t>ersus that of the absolute count</w:t>
      </w:r>
      <w:r w:rsidR="005361DF">
        <w:t xml:space="preserve">s of 311 calls.  Most of the same seasonal patterns and deviations </w:t>
      </w:r>
      <w:r w:rsidR="003E5A63">
        <w:t>continue to appear</w:t>
      </w:r>
      <w:r w:rsidR="005361DF">
        <w:t xml:space="preserve"> </w:t>
      </w:r>
      <w:r w:rsidR="001A04F9">
        <w:lastRenderedPageBreak/>
        <w:t>after this</w:t>
      </w:r>
      <w:r w:rsidR="005361DF">
        <w:t xml:space="preserve"> adjustment.  For the </w:t>
      </w:r>
      <w:r w:rsidR="003E5A63">
        <w:t>rest</w:t>
      </w:r>
      <w:r w:rsidR="005361DF">
        <w:t xml:space="preserve"> of this exercise</w:t>
      </w:r>
      <w:r w:rsidR="00FB4176">
        <w:t>, the</w:t>
      </w:r>
      <w:r w:rsidR="005361DF">
        <w:t xml:space="preserve"> log 311 call (log(calls))</w:t>
      </w:r>
      <w:r w:rsidR="00FB4176">
        <w:t xml:space="preserve"> will be used</w:t>
      </w:r>
      <w:r w:rsidR="005361DF">
        <w:t xml:space="preserve">.  </w:t>
      </w:r>
    </w:p>
    <w:p w14:paraId="63B6BA31" w14:textId="3512866A" w:rsidR="005361DF" w:rsidRDefault="00420E6B" w:rsidP="003F66A3">
      <w:pPr>
        <w:spacing w:line="480" w:lineRule="auto"/>
        <w:jc w:val="both"/>
      </w:pPr>
      <w:r>
        <w:tab/>
      </w:r>
      <w:r w:rsidR="001A04F9">
        <w:t>The</w:t>
      </w:r>
      <w:r w:rsidR="007966F3">
        <w:t xml:space="preserve"> ACF and PACF for log(calls) </w:t>
      </w:r>
      <w:r w:rsidR="001A04F9">
        <w:t xml:space="preserve">are shown </w:t>
      </w:r>
      <w:r w:rsidR="007966F3">
        <w:t xml:space="preserve">in </w:t>
      </w:r>
      <w:r w:rsidR="007966F3" w:rsidRPr="007966F3">
        <w:rPr>
          <w:b/>
        </w:rPr>
        <w:t xml:space="preserve">Figure 3 </w:t>
      </w:r>
      <w:r w:rsidR="007966F3">
        <w:t xml:space="preserve">and </w:t>
      </w:r>
      <w:r w:rsidR="007966F3" w:rsidRPr="007966F3">
        <w:rPr>
          <w:b/>
        </w:rPr>
        <w:t>Figure 4</w:t>
      </w:r>
      <w:r w:rsidR="007966F3">
        <w:t xml:space="preserve"> respectively.  The behavior of the</w:t>
      </w:r>
      <w:r w:rsidR="001864AC">
        <w:t xml:space="preserve"> ACF </w:t>
      </w:r>
      <w:r w:rsidR="007966F3">
        <w:t xml:space="preserve">and </w:t>
      </w:r>
      <w:r w:rsidR="001864AC">
        <w:t xml:space="preserve">PACF </w:t>
      </w:r>
      <w:r w:rsidR="007966F3">
        <w:t>show slight indications of a</w:t>
      </w:r>
      <w:r w:rsidR="001864AC">
        <w:t>n</w:t>
      </w:r>
      <w:r w:rsidR="007966F3">
        <w:t xml:space="preserve"> AR model; the former dies down and the latter cuts off immediately.</w:t>
      </w:r>
      <w:r w:rsidR="001A04F9">
        <w:t xml:space="preserve">   U</w:t>
      </w:r>
      <w:r w:rsidR="007966F3">
        <w:t xml:space="preserve">nfortunately, both the ACF and PACF show </w:t>
      </w:r>
      <w:r w:rsidR="001A04F9">
        <w:t xml:space="preserve">some structure around lag-8 and later.  This structure will need to be removed.  </w:t>
      </w:r>
    </w:p>
    <w:p w14:paraId="6A5447AF" w14:textId="175D2B69" w:rsidR="00041E43" w:rsidRDefault="001864AC" w:rsidP="003F66A3">
      <w:pPr>
        <w:spacing w:line="480" w:lineRule="auto"/>
        <w:jc w:val="both"/>
      </w:pPr>
      <w:r>
        <w:tab/>
        <w:t xml:space="preserve">Before solving for the best ARMA model, </w:t>
      </w:r>
      <w:r w:rsidR="00367FEE">
        <w:t>the time</w:t>
      </w:r>
      <w:r w:rsidR="001A04F9">
        <w:t xml:space="preserve"> series was</w:t>
      </w:r>
      <w:r w:rsidR="007966F3">
        <w:t xml:space="preserve"> </w:t>
      </w:r>
      <w:r w:rsidR="001A04F9">
        <w:t>seasonally adjusted</w:t>
      </w:r>
      <w:r w:rsidR="00367FEE">
        <w:t xml:space="preserve"> by subtracting the </w:t>
      </w:r>
      <w:r w:rsidR="005361DF">
        <w:t xml:space="preserve">corresponding </w:t>
      </w:r>
      <w:r w:rsidR="00367FEE">
        <w:t xml:space="preserve">monthly averages </w:t>
      </w:r>
      <w:r w:rsidR="007966F3">
        <w:t xml:space="preserve">from each monthly observation.  </w:t>
      </w:r>
      <w:r w:rsidR="007966F3" w:rsidRPr="007966F3">
        <w:rPr>
          <w:b/>
        </w:rPr>
        <w:t>Figure 5</w:t>
      </w:r>
      <w:r w:rsidR="007966F3">
        <w:rPr>
          <w:b/>
        </w:rPr>
        <w:t xml:space="preserve"> </w:t>
      </w:r>
      <w:r w:rsidR="007966F3" w:rsidRPr="007966F3">
        <w:t xml:space="preserve">is a stepwise representation of the monthly averages across </w:t>
      </w:r>
      <w:r w:rsidR="002A09BE">
        <w:t xml:space="preserve">the entire dataset.  </w:t>
      </w:r>
      <w:r w:rsidR="002A09BE" w:rsidRPr="002A09BE">
        <w:t xml:space="preserve">Interestingly, we see spikes in calls during the winter </w:t>
      </w:r>
      <w:r>
        <w:t xml:space="preserve">and </w:t>
      </w:r>
      <w:r w:rsidR="002A09BE" w:rsidRPr="002A09BE">
        <w:t xml:space="preserve">summer months; the calls in the winter are due to heating issues during the cold and the calls in the summer are due to noise complaints as </w:t>
      </w:r>
      <w:r w:rsidR="00041E43">
        <w:t>everyone spends time outdoors.</w:t>
      </w:r>
    </w:p>
    <w:p w14:paraId="77F2DDE9" w14:textId="6646CDD7" w:rsidR="00EF4BE8" w:rsidRDefault="00420E6B" w:rsidP="003F66A3">
      <w:pPr>
        <w:spacing w:line="480" w:lineRule="auto"/>
        <w:jc w:val="both"/>
      </w:pPr>
      <w:r>
        <w:tab/>
      </w:r>
      <w:r w:rsidR="00041E43">
        <w:t xml:space="preserve">After adjusting for seasonality by subtracting the monthly average from each monthly observation, the result </w:t>
      </w:r>
      <w:r w:rsidR="001864AC">
        <w:t xml:space="preserve">plot </w:t>
      </w:r>
      <w:r w:rsidR="00041E43">
        <w:t xml:space="preserve">is </w:t>
      </w:r>
      <w:r w:rsidR="00673CF4">
        <w:rPr>
          <w:b/>
        </w:rPr>
        <w:t>Figure-</w:t>
      </w:r>
      <w:r w:rsidR="00041E43">
        <w:rPr>
          <w:b/>
        </w:rPr>
        <w:t>6.</w:t>
      </w:r>
      <w:r w:rsidR="00041E43">
        <w:t xml:space="preserve">  The seasonality </w:t>
      </w:r>
      <w:r w:rsidR="001864AC">
        <w:t xml:space="preserve">and structure </w:t>
      </w:r>
      <w:r w:rsidR="00041E43">
        <w:t>realized in the prior plots is now no longer present</w:t>
      </w:r>
      <w:r w:rsidR="001864AC">
        <w:t xml:space="preserve">.  </w:t>
      </w:r>
      <w:r w:rsidR="00041E43">
        <w:t>We can verify this by observing the ACF and PACF for this</w:t>
      </w:r>
      <w:r w:rsidR="001A04F9">
        <w:t xml:space="preserve"> seasonally a</w:t>
      </w:r>
      <w:r w:rsidR="00041E43">
        <w:t>djust</w:t>
      </w:r>
      <w:r w:rsidR="001A04F9">
        <w:t>ed plot</w:t>
      </w:r>
      <w:r w:rsidR="00EF4BE8">
        <w:t xml:space="preserve">.  </w:t>
      </w:r>
      <w:r w:rsidR="00EF4BE8" w:rsidRPr="00EF4BE8">
        <w:rPr>
          <w:b/>
        </w:rPr>
        <w:t>Figure 7</w:t>
      </w:r>
      <w:r w:rsidR="00EF4BE8">
        <w:t xml:space="preserve"> and </w:t>
      </w:r>
      <w:r w:rsidR="00EF4BE8" w:rsidRPr="00EF4BE8">
        <w:rPr>
          <w:b/>
        </w:rPr>
        <w:t>Figure 8</w:t>
      </w:r>
      <w:r w:rsidR="00EF4BE8">
        <w:rPr>
          <w:b/>
        </w:rPr>
        <w:t xml:space="preserve"> </w:t>
      </w:r>
      <w:r w:rsidR="00EF4BE8">
        <w:t>show characteristics that make it consistent with an ARMA model as both ACF and</w:t>
      </w:r>
      <w:r w:rsidR="001864AC">
        <w:t xml:space="preserve"> PACF appear to slowly die down and any structure realized after lag-8 in the prior ACF and PACF plots is no longer present.  </w:t>
      </w:r>
      <w:r w:rsidR="00EF4BE8">
        <w:t xml:space="preserve"> </w:t>
      </w:r>
      <w:r w:rsidR="001864AC">
        <w:t xml:space="preserve"> </w:t>
      </w:r>
      <w:r w:rsidR="00EF4BE8">
        <w:t xml:space="preserve">   </w:t>
      </w:r>
    </w:p>
    <w:p w14:paraId="462DE994" w14:textId="75C784E8" w:rsidR="00EF4BE8" w:rsidRDefault="00420E6B" w:rsidP="003F66A3">
      <w:pPr>
        <w:spacing w:line="480" w:lineRule="auto"/>
        <w:jc w:val="both"/>
      </w:pPr>
      <w:r>
        <w:tab/>
      </w:r>
      <w:r w:rsidR="00A1429D">
        <w:t>The</w:t>
      </w:r>
      <w:r w:rsidR="00F24226">
        <w:t xml:space="preserve"> </w:t>
      </w:r>
      <w:r w:rsidR="00A1429D">
        <w:t xml:space="preserve">first </w:t>
      </w:r>
      <w:r w:rsidR="00F24226">
        <w:t>difference and the second difference of the seasonally adjust log(calls)</w:t>
      </w:r>
      <w:r w:rsidR="00A1429D">
        <w:t xml:space="preserve"> were taken into consideration for this exercise</w:t>
      </w:r>
      <w:r w:rsidR="00F24226">
        <w:t xml:space="preserve">.  </w:t>
      </w:r>
      <w:r w:rsidR="00A1429D">
        <w:t>Unfortunately, f</w:t>
      </w:r>
      <w:r w:rsidR="00F24226">
        <w:t>or both difference-1 and difference-2, the lag-1 result</w:t>
      </w:r>
      <w:r w:rsidR="00A1429D">
        <w:t>s were</w:t>
      </w:r>
      <w:r w:rsidR="00F24226">
        <w:t xml:space="preserve"> negative, indicating that there was over-differencing.  The result for difference-1 can be found in </w:t>
      </w:r>
      <w:r w:rsidR="00F24226" w:rsidRPr="00F24226">
        <w:rPr>
          <w:b/>
        </w:rPr>
        <w:t>Figure-9</w:t>
      </w:r>
      <w:r w:rsidR="00F24226">
        <w:t xml:space="preserve"> and </w:t>
      </w:r>
      <w:r w:rsidR="00F24226" w:rsidRPr="00F24226">
        <w:rPr>
          <w:b/>
        </w:rPr>
        <w:t>Figure-10</w:t>
      </w:r>
      <w:r w:rsidR="00F24226">
        <w:rPr>
          <w:b/>
        </w:rPr>
        <w:t xml:space="preserve"> </w:t>
      </w:r>
      <w:r w:rsidR="00F24226">
        <w:t xml:space="preserve">and difference-2 can be found in </w:t>
      </w:r>
      <w:r w:rsidR="00673CF4" w:rsidRPr="00673CF4">
        <w:rPr>
          <w:b/>
        </w:rPr>
        <w:t>Figure-11</w:t>
      </w:r>
      <w:r w:rsidR="00673CF4">
        <w:t xml:space="preserve"> and </w:t>
      </w:r>
      <w:r w:rsidR="00673CF4" w:rsidRPr="00673CF4">
        <w:rPr>
          <w:b/>
        </w:rPr>
        <w:t xml:space="preserve">Figure-12 </w:t>
      </w:r>
      <w:r w:rsidR="00673CF4">
        <w:t>respectively.</w:t>
      </w:r>
    </w:p>
    <w:p w14:paraId="51671B1D" w14:textId="049ACFA9" w:rsidR="00420E6B" w:rsidRDefault="00420E6B" w:rsidP="003F66A3">
      <w:pPr>
        <w:spacing w:line="480" w:lineRule="auto"/>
        <w:jc w:val="both"/>
      </w:pPr>
      <w:r>
        <w:tab/>
      </w:r>
      <w:r w:rsidR="00751BDB">
        <w:t xml:space="preserve">Based on this preliminary analysis, the AICC </w:t>
      </w:r>
      <w:r w:rsidR="00FF67E0">
        <w:t xml:space="preserve">values were then considered.  The AICC values for all eighteen different ARIMA models can be reviewed in </w:t>
      </w:r>
      <w:r w:rsidR="00FF67E0" w:rsidRPr="00FF67E0">
        <w:rPr>
          <w:b/>
        </w:rPr>
        <w:t>Table-1.</w:t>
      </w:r>
      <w:r w:rsidR="00170231">
        <w:rPr>
          <w:b/>
        </w:rPr>
        <w:t xml:space="preserve">  </w:t>
      </w:r>
      <w:r w:rsidR="000A575A">
        <w:t xml:space="preserve">Based on these results, </w:t>
      </w:r>
      <w:r w:rsidR="00170231">
        <w:t>the best model is ARIMA(2</w:t>
      </w:r>
      <w:r>
        <w:t xml:space="preserve">,0,2) </w:t>
      </w:r>
      <w:r w:rsidR="000A575A">
        <w:t xml:space="preserve">without a constant </w:t>
      </w:r>
      <w:r>
        <w:t>with a</w:t>
      </w:r>
      <w:r w:rsidR="000A575A">
        <w:t>n AICC</w:t>
      </w:r>
      <w:r>
        <w:t xml:space="preserve"> value of -166.12.  The parameter estimates for the selected model can be found in </w:t>
      </w:r>
      <w:r w:rsidR="00FB4176">
        <w:rPr>
          <w:b/>
        </w:rPr>
        <w:t>Table-</w:t>
      </w:r>
      <w:r w:rsidRPr="00420E6B">
        <w:rPr>
          <w:b/>
        </w:rPr>
        <w:t>2</w:t>
      </w:r>
      <w:r>
        <w:rPr>
          <w:b/>
        </w:rPr>
        <w:t xml:space="preserve">.  </w:t>
      </w:r>
      <w:r>
        <w:t xml:space="preserve">The complete form for the model is the following: </w:t>
      </w:r>
    </w:p>
    <w:p w14:paraId="2CE8A331" w14:textId="1121E8DB" w:rsidR="00420E6B" w:rsidRDefault="00420E6B" w:rsidP="003F66A3">
      <w:pPr>
        <w:spacing w:line="480" w:lineRule="auto"/>
        <w:jc w:val="center"/>
        <w:rPr>
          <w:i/>
        </w:rPr>
      </w:pPr>
      <w:r w:rsidRPr="00420E6B">
        <w:rPr>
          <w:i/>
        </w:rPr>
        <w:t>x(t) = .4622 * x(t-1) + .3911 * x(t-2) + eps(t) + .2932 * eps(t-1) + -.5413 * eps(t-2)</w:t>
      </w:r>
    </w:p>
    <w:p w14:paraId="4378403D" w14:textId="49C9FD71" w:rsidR="00420E6B" w:rsidRDefault="00420E6B" w:rsidP="003F66A3">
      <w:pPr>
        <w:spacing w:line="480" w:lineRule="auto"/>
      </w:pPr>
      <w:r>
        <w:t xml:space="preserve">Based on the z-statistics, not all of the parameters appear to be statistically significant.  The AR(1) and MA(1) have a z-statistic less than two, indicating there might an </w:t>
      </w:r>
      <w:r w:rsidR="00C40DEF">
        <w:t xml:space="preserve">issue with these parameters in our ARMA(2,0,2) model.  Fortunately, z-statistics are not always reliable therefore this can be overlooked.  </w:t>
      </w:r>
    </w:p>
    <w:p w14:paraId="026D2683" w14:textId="352231B4" w:rsidR="00420E6B" w:rsidRDefault="00420E6B" w:rsidP="003F66A3">
      <w:pPr>
        <w:spacing w:line="480" w:lineRule="auto"/>
        <w:rPr>
          <w:b/>
        </w:rPr>
      </w:pPr>
      <w:r>
        <w:tab/>
        <w:t xml:space="preserve">The Ljung-Box statistics for the first 12, 24, 36 and 48 lags </w:t>
      </w:r>
      <w:r w:rsidR="00924301">
        <w:t xml:space="preserve">had p-values above .05, indicating that the </w:t>
      </w:r>
      <w:r w:rsidR="00C40DEF">
        <w:t xml:space="preserve">current </w:t>
      </w:r>
      <w:r w:rsidR="00924301">
        <w:t>model is stationary and that there is no more dependence.  Based on these p-values, one can c</w:t>
      </w:r>
      <w:r w:rsidR="003F66A3">
        <w:t>on</w:t>
      </w:r>
      <w:r w:rsidR="00C40DEF">
        <w:t>c</w:t>
      </w:r>
      <w:r w:rsidR="003F66A3">
        <w:t>lude that this model is adequa</w:t>
      </w:r>
      <w:r w:rsidR="00924301">
        <w:t xml:space="preserve">te for this analysis.  The p-values can be found in </w:t>
      </w:r>
      <w:r w:rsidR="00FB4176">
        <w:rPr>
          <w:b/>
        </w:rPr>
        <w:t>Table-</w:t>
      </w:r>
      <w:r w:rsidR="00924301" w:rsidRPr="00924301">
        <w:rPr>
          <w:b/>
        </w:rPr>
        <w:t>3.</w:t>
      </w:r>
      <w:r w:rsidR="00924301">
        <w:rPr>
          <w:b/>
        </w:rPr>
        <w:t xml:space="preserve">  </w:t>
      </w:r>
    </w:p>
    <w:p w14:paraId="674F8FAE" w14:textId="28282F9E" w:rsidR="00FA69CA" w:rsidRPr="00FA69CA" w:rsidRDefault="00FB4176" w:rsidP="003F66A3">
      <w:pPr>
        <w:spacing w:line="480" w:lineRule="auto"/>
      </w:pPr>
      <w:r>
        <w:rPr>
          <w:b/>
        </w:rPr>
        <w:tab/>
      </w:r>
      <w:r>
        <w:t xml:space="preserve">The plot for the residuals in </w:t>
      </w:r>
      <w:r w:rsidRPr="00FB4176">
        <w:rPr>
          <w:b/>
        </w:rPr>
        <w:t>Figure-13</w:t>
      </w:r>
      <w:r>
        <w:rPr>
          <w:b/>
        </w:rPr>
        <w:t xml:space="preserve"> </w:t>
      </w:r>
      <w:r>
        <w:t xml:space="preserve">does show a slightly discernible structure </w:t>
      </w:r>
      <w:r w:rsidR="00C40DEF">
        <w:t>by tending to veer</w:t>
      </w:r>
      <w:r w:rsidR="00FA69CA">
        <w:t xml:space="preserve"> below the mean </w:t>
      </w:r>
      <w:r w:rsidR="00C40DEF">
        <w:t xml:space="preserve">but then shoot above it entering winter; </w:t>
      </w:r>
      <w:r>
        <w:t xml:space="preserve">fortunately the ACF and PACF in </w:t>
      </w:r>
      <w:r w:rsidRPr="00FB4176">
        <w:rPr>
          <w:b/>
        </w:rPr>
        <w:t>Figure-14</w:t>
      </w:r>
      <w:r>
        <w:t xml:space="preserve"> and </w:t>
      </w:r>
      <w:r w:rsidRPr="00FB4176">
        <w:rPr>
          <w:b/>
        </w:rPr>
        <w:t>Figure-15</w:t>
      </w:r>
      <w:r>
        <w:t xml:space="preserve"> respectively reveal that any autocorrelation has been eliminated</w:t>
      </w:r>
      <w:r w:rsidR="00FA69CA">
        <w:t>.</w:t>
      </w:r>
    </w:p>
    <w:p w14:paraId="0C9401DC" w14:textId="76751192" w:rsidR="009A4831" w:rsidRDefault="006C6746" w:rsidP="003F66A3">
      <w:pPr>
        <w:spacing w:line="480" w:lineRule="auto"/>
      </w:pPr>
      <w:r>
        <w:tab/>
      </w:r>
      <w:r w:rsidR="00B95A00">
        <w:t xml:space="preserve">The </w:t>
      </w:r>
      <w:r w:rsidR="00C40DEF">
        <w:t>forecast plot with lead times</w:t>
      </w:r>
      <w:r w:rsidR="00B95A00">
        <w:t xml:space="preserve"> 1-50</w:t>
      </w:r>
      <w:r w:rsidR="00375BBD">
        <w:t xml:space="preserve"> and a 95% confidence interval</w:t>
      </w:r>
      <w:r w:rsidR="00B95A00">
        <w:t xml:space="preserve"> can be found in </w:t>
      </w:r>
      <w:r w:rsidR="00B95A00" w:rsidRPr="00B95A00">
        <w:rPr>
          <w:b/>
        </w:rPr>
        <w:t>Figure-16</w:t>
      </w:r>
      <w:r w:rsidR="00B95A00">
        <w:rPr>
          <w:b/>
        </w:rPr>
        <w:t xml:space="preserve">.  </w:t>
      </w:r>
      <w:r w:rsidR="00375BBD">
        <w:t xml:space="preserve">The forecast does seem reasonable based on this plot.  It captures the entire range of monthly log(311) calls after solving for seasonality.  One can question the value and validity of </w:t>
      </w:r>
      <w:r w:rsidR="00C40DEF">
        <w:t xml:space="preserve">the </w:t>
      </w:r>
      <w:r w:rsidR="00375BBD">
        <w:t>forecasts beyond a certain lead-time; it is difficult to forecast 50 observations in the future with a dataset of only 68 monthly observations.</w:t>
      </w:r>
      <w:r w:rsidR="009F73C4">
        <w:t xml:space="preserve">  </w:t>
      </w:r>
      <w:r w:rsidR="00375BBD">
        <w:t xml:space="preserve">Based on this forecast model, one can predict that the range of 311 calls in the month of April will be the following: </w:t>
      </w:r>
    </w:p>
    <w:tbl>
      <w:tblPr>
        <w:tblStyle w:val="TableGrid"/>
        <w:tblW w:w="0" w:type="auto"/>
        <w:jc w:val="center"/>
        <w:tblInd w:w="184" w:type="dxa"/>
        <w:tblLook w:val="04A0" w:firstRow="1" w:lastRow="0" w:firstColumn="1" w:lastColumn="0" w:noHBand="0" w:noVBand="1"/>
      </w:tblPr>
      <w:tblGrid>
        <w:gridCol w:w="2253"/>
        <w:gridCol w:w="2576"/>
      </w:tblGrid>
      <w:tr w:rsidR="009A4831" w14:paraId="5146CDD3" w14:textId="77777777" w:rsidTr="009A4831">
        <w:trPr>
          <w:trHeight w:val="269"/>
          <w:jc w:val="center"/>
        </w:trPr>
        <w:tc>
          <w:tcPr>
            <w:tcW w:w="2253" w:type="dxa"/>
          </w:tcPr>
          <w:p w14:paraId="19E37114" w14:textId="1053A754" w:rsidR="00375BBD" w:rsidRPr="009A4831" w:rsidRDefault="009A4831" w:rsidP="009A4831">
            <w:pPr>
              <w:tabs>
                <w:tab w:val="left" w:pos="1280"/>
              </w:tabs>
              <w:jc w:val="both"/>
              <w:rPr>
                <w:b/>
                <w:sz w:val="20"/>
                <w:szCs w:val="20"/>
              </w:rPr>
            </w:pPr>
            <w:r w:rsidRPr="009A4831">
              <w:rPr>
                <w:b/>
                <w:sz w:val="20"/>
                <w:szCs w:val="20"/>
              </w:rPr>
              <w:t xml:space="preserve">Confidence Interval </w:t>
            </w:r>
          </w:p>
        </w:tc>
        <w:tc>
          <w:tcPr>
            <w:tcW w:w="2576" w:type="dxa"/>
          </w:tcPr>
          <w:p w14:paraId="4575BFAB" w14:textId="463EA336" w:rsidR="00375BBD" w:rsidRPr="009A4831" w:rsidRDefault="009A4831" w:rsidP="00375BBD">
            <w:pPr>
              <w:jc w:val="both"/>
              <w:rPr>
                <w:b/>
                <w:sz w:val="20"/>
                <w:szCs w:val="20"/>
              </w:rPr>
            </w:pPr>
            <w:r w:rsidRPr="009A4831">
              <w:rPr>
                <w:b/>
                <w:sz w:val="20"/>
                <w:szCs w:val="20"/>
              </w:rPr>
              <w:t>Values</w:t>
            </w:r>
          </w:p>
        </w:tc>
      </w:tr>
      <w:tr w:rsidR="009A4831" w14:paraId="55BA7372" w14:textId="77777777" w:rsidTr="009A4831">
        <w:trPr>
          <w:trHeight w:val="251"/>
          <w:jc w:val="center"/>
        </w:trPr>
        <w:tc>
          <w:tcPr>
            <w:tcW w:w="2253" w:type="dxa"/>
          </w:tcPr>
          <w:p w14:paraId="2452F52A" w14:textId="168102D1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95%</w:t>
            </w:r>
          </w:p>
        </w:tc>
        <w:tc>
          <w:tcPr>
            <w:tcW w:w="2576" w:type="dxa"/>
          </w:tcPr>
          <w:p w14:paraId="1D941A1C" w14:textId="6D48BBD4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13,7582</w:t>
            </w:r>
          </w:p>
        </w:tc>
      </w:tr>
      <w:tr w:rsidR="009A4831" w14:paraId="64B4DD11" w14:textId="77777777" w:rsidTr="009A4831">
        <w:trPr>
          <w:trHeight w:val="269"/>
          <w:jc w:val="center"/>
        </w:trPr>
        <w:tc>
          <w:tcPr>
            <w:tcW w:w="2253" w:type="dxa"/>
          </w:tcPr>
          <w:p w14:paraId="6CEBBCFF" w14:textId="79718E47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Point_Forecast </w:t>
            </w:r>
          </w:p>
        </w:tc>
        <w:tc>
          <w:tcPr>
            <w:tcW w:w="2576" w:type="dxa"/>
          </w:tcPr>
          <w:p w14:paraId="2ABE61A6" w14:textId="7ED5DB3D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 w:rsidRPr="009A4831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,</w:t>
            </w:r>
            <w:r w:rsidRPr="009A4831">
              <w:rPr>
                <w:sz w:val="20"/>
                <w:szCs w:val="20"/>
              </w:rPr>
              <w:t>0597</w:t>
            </w:r>
          </w:p>
        </w:tc>
      </w:tr>
      <w:tr w:rsidR="009A4831" w14:paraId="228CF0C3" w14:textId="77777777" w:rsidTr="009A4831">
        <w:trPr>
          <w:trHeight w:val="269"/>
          <w:jc w:val="center"/>
        </w:trPr>
        <w:tc>
          <w:tcPr>
            <w:tcW w:w="2253" w:type="dxa"/>
          </w:tcPr>
          <w:p w14:paraId="0991C51F" w14:textId="6E87D6F4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 95% </w:t>
            </w:r>
          </w:p>
        </w:tc>
        <w:tc>
          <w:tcPr>
            <w:tcW w:w="2576" w:type="dxa"/>
          </w:tcPr>
          <w:p w14:paraId="3843F7FA" w14:textId="247A31D1" w:rsidR="00375BBD" w:rsidRPr="00924301" w:rsidRDefault="009A4831" w:rsidP="00375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17,3109</w:t>
            </w:r>
          </w:p>
        </w:tc>
      </w:tr>
    </w:tbl>
    <w:p w14:paraId="68224394" w14:textId="77777777" w:rsidR="009A4831" w:rsidRDefault="009A4831" w:rsidP="009A4831">
      <w:pPr>
        <w:spacing w:line="480" w:lineRule="auto"/>
      </w:pPr>
    </w:p>
    <w:p w14:paraId="689C27D4" w14:textId="7785EEAC" w:rsidR="00375BBD" w:rsidRDefault="009A4831" w:rsidP="009A4831">
      <w:pPr>
        <w:spacing w:line="480" w:lineRule="auto"/>
      </w:pPr>
      <w:r>
        <w:t xml:space="preserve">This estimate for April 2015 is reasonable.  </w:t>
      </w:r>
    </w:p>
    <w:p w14:paraId="19A283C1" w14:textId="5E071D7A" w:rsidR="00C40DEF" w:rsidRDefault="00C40DEF" w:rsidP="009A4831">
      <w:pPr>
        <w:spacing w:line="480" w:lineRule="auto"/>
      </w:pPr>
      <w:r>
        <w:tab/>
        <w:t xml:space="preserve">After building this initial forecast model, one could take into consideration an AR(1) model based on the ACF and PACF plots in </w:t>
      </w:r>
      <w:r w:rsidRPr="00C40DEF">
        <w:rPr>
          <w:b/>
        </w:rPr>
        <w:t>Figure-7</w:t>
      </w:r>
      <w:r>
        <w:t xml:space="preserve"> and </w:t>
      </w:r>
      <w:r w:rsidRPr="00C40DEF">
        <w:rPr>
          <w:b/>
        </w:rPr>
        <w:t>Figure-8</w:t>
      </w:r>
      <w:r>
        <w:t xml:space="preserve">.  </w:t>
      </w:r>
      <w:r w:rsidR="00571C4A">
        <w:t xml:space="preserve">After reviewing the results of an ARMA(2,0,2) forecast model and the questionable z-statistics for the coefficients, it would be worthwhile to see if there is a better fit using an AR(1). </w:t>
      </w:r>
    </w:p>
    <w:p w14:paraId="6973789F" w14:textId="2DCA3018" w:rsidR="009F73C4" w:rsidRDefault="009F73C4" w:rsidP="009A4831">
      <w:pPr>
        <w:spacing w:line="480" w:lineRule="auto"/>
      </w:pPr>
      <w:r>
        <w:tab/>
        <w:t>Overall, this dataset was not the easiest to use to build</w:t>
      </w:r>
      <w:r w:rsidR="00571C4A">
        <w:t xml:space="preserve"> a forecast model.  311 calls in</w:t>
      </w:r>
      <w:r>
        <w:t xml:space="preserve"> NYC are highly seasonal.  The original </w:t>
      </w:r>
      <w:r w:rsidR="00504E26">
        <w:t>dataset, which was daily,</w:t>
      </w:r>
      <w:r w:rsidR="00571C4A">
        <w:t xml:space="preserve"> </w:t>
      </w:r>
      <w:r>
        <w:t xml:space="preserve">required adjusting for both weekly and monthly seasonality.  Furthermore, the dataset does not go far back enough in time to capture </w:t>
      </w:r>
      <w:r w:rsidR="00571C4A">
        <w:t xml:space="preserve">more </w:t>
      </w:r>
      <w:r>
        <w:t>historical trends.  311</w:t>
      </w:r>
      <w:r w:rsidR="00571C4A">
        <w:t xml:space="preserve"> call centers have</w:t>
      </w:r>
      <w:r>
        <w:t xml:space="preserve"> been around for over a decade but only recently has </w:t>
      </w:r>
      <w:r w:rsidR="00571C4A">
        <w:t>the city</w:t>
      </w:r>
      <w:r>
        <w:t xml:space="preserve"> mandated collecting and publishing this data.  </w:t>
      </w:r>
    </w:p>
    <w:p w14:paraId="12D74DF7" w14:textId="77777777" w:rsidR="009F73C4" w:rsidRDefault="009F73C4" w:rsidP="009A4831">
      <w:pPr>
        <w:spacing w:line="480" w:lineRule="auto"/>
      </w:pPr>
    </w:p>
    <w:p w14:paraId="73E82922" w14:textId="2C7EFADC" w:rsidR="009F73C4" w:rsidRDefault="009F73C4" w:rsidP="009A4831">
      <w:pPr>
        <w:spacing w:line="480" w:lineRule="auto"/>
      </w:pPr>
      <w:r>
        <w:tab/>
      </w:r>
    </w:p>
    <w:p w14:paraId="40A3CA5B" w14:textId="77777777" w:rsidR="00504E26" w:rsidRDefault="00504E26" w:rsidP="00FF67E0">
      <w:pPr>
        <w:jc w:val="center"/>
      </w:pPr>
    </w:p>
    <w:p w14:paraId="6696E364" w14:textId="77777777" w:rsidR="00504E26" w:rsidRDefault="00504E26" w:rsidP="00FF67E0">
      <w:pPr>
        <w:jc w:val="center"/>
      </w:pPr>
    </w:p>
    <w:p w14:paraId="5CF32860" w14:textId="011D2383" w:rsidR="00EF4BE8" w:rsidRPr="00420E6B" w:rsidRDefault="00FF67E0" w:rsidP="00FF67E0">
      <w:pPr>
        <w:jc w:val="center"/>
        <w:rPr>
          <w:rFonts w:ascii="Arial" w:hAnsi="Arial"/>
          <w:b/>
          <w:sz w:val="22"/>
          <w:szCs w:val="22"/>
        </w:rPr>
      </w:pPr>
      <w:bookmarkStart w:id="0" w:name="_GoBack"/>
      <w:bookmarkEnd w:id="0"/>
      <w:r w:rsidRPr="00420E6B">
        <w:rPr>
          <w:rFonts w:ascii="Arial" w:hAnsi="Arial"/>
          <w:b/>
          <w:sz w:val="22"/>
          <w:szCs w:val="22"/>
        </w:rPr>
        <w:t>Table 1</w:t>
      </w:r>
    </w:p>
    <w:p w14:paraId="7760C037" w14:textId="3B7001A6" w:rsidR="00EF4BE8" w:rsidRDefault="00FF67E0" w:rsidP="00B95A00">
      <w:pPr>
        <w:jc w:val="center"/>
      </w:pPr>
      <w:r>
        <w:rPr>
          <w:noProof/>
        </w:rPr>
        <w:drawing>
          <wp:inline distT="0" distB="0" distL="0" distR="0" wp14:anchorId="52FC218F" wp14:editId="2D06D82F">
            <wp:extent cx="4253271" cy="30378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71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C5E" w14:textId="329D8A34" w:rsidR="00420E6B" w:rsidRPr="00420E6B" w:rsidRDefault="00420E6B" w:rsidP="00420E6B">
      <w:pPr>
        <w:jc w:val="center"/>
        <w:rPr>
          <w:rFonts w:ascii="Arial" w:hAnsi="Arial"/>
          <w:b/>
          <w:sz w:val="22"/>
          <w:szCs w:val="22"/>
        </w:rPr>
      </w:pPr>
      <w:r w:rsidRPr="00420E6B">
        <w:rPr>
          <w:rFonts w:ascii="Arial" w:hAnsi="Arial"/>
          <w:b/>
          <w:sz w:val="22"/>
          <w:szCs w:val="22"/>
        </w:rPr>
        <w:t>Table 2</w:t>
      </w:r>
    </w:p>
    <w:p w14:paraId="26DE20D0" w14:textId="77777777" w:rsidR="00420E6B" w:rsidRDefault="00420E6B" w:rsidP="00420E6B">
      <w:pPr>
        <w:jc w:val="center"/>
        <w:rPr>
          <w:rFonts w:ascii="Arial" w:hAnsi="Arial"/>
          <w:b/>
        </w:rPr>
      </w:pPr>
    </w:p>
    <w:p w14:paraId="60CBC109" w14:textId="77293501" w:rsidR="00420E6B" w:rsidRPr="00FF67E0" w:rsidRDefault="00420E6B" w:rsidP="00420E6B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02E365D9" wp14:editId="2FB2673D">
            <wp:extent cx="5486400" cy="127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5 11.46.4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697B" w14:textId="77777777" w:rsidR="00420E6B" w:rsidRDefault="00420E6B" w:rsidP="00B74B58">
      <w:pPr>
        <w:jc w:val="both"/>
      </w:pPr>
    </w:p>
    <w:p w14:paraId="7983CD8D" w14:textId="2F722E0A" w:rsidR="00924301" w:rsidRPr="00420E6B" w:rsidRDefault="00924301" w:rsidP="00924301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Table 3</w:t>
      </w:r>
    </w:p>
    <w:p w14:paraId="19114928" w14:textId="1FB83988" w:rsidR="00924301" w:rsidRDefault="00924301" w:rsidP="0092430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068"/>
      </w:tblGrid>
      <w:tr w:rsidR="00924301" w14:paraId="0A2338B1" w14:textId="77777777" w:rsidTr="00924301">
        <w:tc>
          <w:tcPr>
            <w:tcW w:w="4788" w:type="dxa"/>
          </w:tcPr>
          <w:p w14:paraId="7A96B2AC" w14:textId="18A72774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 xml:space="preserve">Ljung-Box Tests </w:t>
            </w:r>
          </w:p>
        </w:tc>
        <w:tc>
          <w:tcPr>
            <w:tcW w:w="4068" w:type="dxa"/>
          </w:tcPr>
          <w:p w14:paraId="025175DC" w14:textId="4D4FC9B7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p-values</w:t>
            </w:r>
          </w:p>
        </w:tc>
      </w:tr>
      <w:tr w:rsidR="00924301" w14:paraId="03F4472A" w14:textId="77777777" w:rsidTr="00924301">
        <w:tc>
          <w:tcPr>
            <w:tcW w:w="4788" w:type="dxa"/>
          </w:tcPr>
          <w:p w14:paraId="04428186" w14:textId="3BE45426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Box.test(resid, lag=12, type = "Ljung-Box", fitdf=4)</w:t>
            </w:r>
          </w:p>
        </w:tc>
        <w:tc>
          <w:tcPr>
            <w:tcW w:w="4068" w:type="dxa"/>
          </w:tcPr>
          <w:p w14:paraId="066FA407" w14:textId="08FA488D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.84</w:t>
            </w:r>
          </w:p>
        </w:tc>
      </w:tr>
      <w:tr w:rsidR="00924301" w14:paraId="01AC82E9" w14:textId="77777777" w:rsidTr="00924301">
        <w:tc>
          <w:tcPr>
            <w:tcW w:w="4788" w:type="dxa"/>
          </w:tcPr>
          <w:p w14:paraId="4D5ABFAF" w14:textId="026853CB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Box.test(resid, lag=24, type = "Ljung-Box", fitdf=4)</w:t>
            </w:r>
          </w:p>
        </w:tc>
        <w:tc>
          <w:tcPr>
            <w:tcW w:w="4068" w:type="dxa"/>
          </w:tcPr>
          <w:p w14:paraId="2D787851" w14:textId="04BDFF40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.47</w:t>
            </w:r>
          </w:p>
        </w:tc>
      </w:tr>
      <w:tr w:rsidR="00924301" w14:paraId="422C9B41" w14:textId="77777777" w:rsidTr="00924301">
        <w:tc>
          <w:tcPr>
            <w:tcW w:w="4788" w:type="dxa"/>
          </w:tcPr>
          <w:p w14:paraId="5226E30F" w14:textId="34555972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Box.test(resid, lag=36, type = "Ljung-Box", fitdf=4)</w:t>
            </w:r>
          </w:p>
        </w:tc>
        <w:tc>
          <w:tcPr>
            <w:tcW w:w="4068" w:type="dxa"/>
          </w:tcPr>
          <w:p w14:paraId="38E19C0E" w14:textId="07F5EC4E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.15</w:t>
            </w:r>
          </w:p>
        </w:tc>
      </w:tr>
      <w:tr w:rsidR="00924301" w14:paraId="74F1244A" w14:textId="77777777" w:rsidTr="00924301">
        <w:tc>
          <w:tcPr>
            <w:tcW w:w="4788" w:type="dxa"/>
          </w:tcPr>
          <w:p w14:paraId="444CE21B" w14:textId="0ABD3BAE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Box.test(resid, lag=48, type = "Ljung-Box", fitdf=4)</w:t>
            </w:r>
          </w:p>
        </w:tc>
        <w:tc>
          <w:tcPr>
            <w:tcW w:w="4068" w:type="dxa"/>
          </w:tcPr>
          <w:p w14:paraId="548B0950" w14:textId="00772CB4" w:rsidR="00924301" w:rsidRPr="00924301" w:rsidRDefault="00924301" w:rsidP="00B74B58">
            <w:pPr>
              <w:jc w:val="both"/>
              <w:rPr>
                <w:sz w:val="20"/>
                <w:szCs w:val="20"/>
              </w:rPr>
            </w:pPr>
            <w:r w:rsidRPr="00924301">
              <w:rPr>
                <w:sz w:val="20"/>
                <w:szCs w:val="20"/>
              </w:rPr>
              <w:t>.36</w:t>
            </w:r>
          </w:p>
        </w:tc>
      </w:tr>
    </w:tbl>
    <w:p w14:paraId="5BC5E0DE" w14:textId="77777777" w:rsidR="00041E43" w:rsidRPr="00041E43" w:rsidRDefault="00041E43" w:rsidP="00B74B58">
      <w:pPr>
        <w:jc w:val="both"/>
      </w:pPr>
    </w:p>
    <w:p w14:paraId="51507F03" w14:textId="77777777" w:rsidR="00367FEE" w:rsidRDefault="00367FEE" w:rsidP="00B74B58">
      <w:pPr>
        <w:jc w:val="both"/>
      </w:pPr>
      <w:r>
        <w:rPr>
          <w:noProof/>
        </w:rPr>
        <w:drawing>
          <wp:inline distT="0" distB="0" distL="0" distR="0" wp14:anchorId="30CD2B67" wp14:editId="4A06C8DD">
            <wp:extent cx="548640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22E" w14:textId="77777777" w:rsidR="005361DF" w:rsidRDefault="005361DF" w:rsidP="00B74B58">
      <w:pPr>
        <w:jc w:val="both"/>
      </w:pPr>
    </w:p>
    <w:p w14:paraId="6F9A0B40" w14:textId="77777777" w:rsidR="005361DF" w:rsidRDefault="005361DF" w:rsidP="00B74B58">
      <w:pPr>
        <w:jc w:val="both"/>
      </w:pPr>
      <w:r>
        <w:rPr>
          <w:noProof/>
        </w:rPr>
        <w:drawing>
          <wp:inline distT="0" distB="0" distL="0" distR="0" wp14:anchorId="015493D7" wp14:editId="24B85282">
            <wp:extent cx="5486400" cy="391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8D77" w14:textId="77777777" w:rsidR="007966F3" w:rsidRDefault="007966F3" w:rsidP="00B74B58">
      <w:pPr>
        <w:jc w:val="both"/>
      </w:pPr>
      <w:r>
        <w:rPr>
          <w:noProof/>
        </w:rPr>
        <w:drawing>
          <wp:inline distT="0" distB="0" distL="0" distR="0" wp14:anchorId="4E420FEE" wp14:editId="576A0679">
            <wp:extent cx="5486400" cy="391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_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C168" w14:textId="77777777" w:rsidR="007966F3" w:rsidRDefault="007966F3" w:rsidP="00B74B58">
      <w:pPr>
        <w:jc w:val="both"/>
      </w:pPr>
      <w:r>
        <w:rPr>
          <w:noProof/>
        </w:rPr>
        <w:drawing>
          <wp:inline distT="0" distB="0" distL="0" distR="0" wp14:anchorId="19872C6C" wp14:editId="71BFE441">
            <wp:extent cx="5486400" cy="391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EF1" w14:textId="77777777" w:rsidR="00041E43" w:rsidRDefault="00041E43" w:rsidP="00B74B58">
      <w:pPr>
        <w:jc w:val="both"/>
      </w:pPr>
      <w:r>
        <w:rPr>
          <w:noProof/>
        </w:rPr>
        <w:drawing>
          <wp:inline distT="0" distB="0" distL="0" distR="0" wp14:anchorId="69A47437" wp14:editId="650B63AE">
            <wp:extent cx="5486400" cy="391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235A" w14:textId="59057610" w:rsidR="00F24226" w:rsidRDefault="00F24226" w:rsidP="00B74B58">
      <w:pPr>
        <w:jc w:val="both"/>
      </w:pPr>
      <w:r>
        <w:rPr>
          <w:noProof/>
        </w:rPr>
        <w:drawing>
          <wp:inline distT="0" distB="0" distL="0" distR="0" wp14:anchorId="418F3255" wp14:editId="3E9A49D2">
            <wp:extent cx="5486400" cy="391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7_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D6D" w14:textId="3D29147F" w:rsidR="00EF4BE8" w:rsidRDefault="00EF4BE8" w:rsidP="00B74B58">
      <w:pPr>
        <w:jc w:val="both"/>
      </w:pPr>
    </w:p>
    <w:p w14:paraId="4BA5DD9A" w14:textId="0A113FF4" w:rsidR="00F24226" w:rsidRDefault="00F24226" w:rsidP="00B74B58">
      <w:pPr>
        <w:jc w:val="both"/>
      </w:pPr>
      <w:r>
        <w:rPr>
          <w:noProof/>
        </w:rPr>
        <w:drawing>
          <wp:inline distT="0" distB="0" distL="0" distR="0" wp14:anchorId="52CF1D3A" wp14:editId="336ECFDD">
            <wp:extent cx="5486400" cy="391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8_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8A6" w14:textId="269F580D" w:rsidR="00F24226" w:rsidRDefault="00F24226" w:rsidP="00B74B58">
      <w:pPr>
        <w:jc w:val="both"/>
      </w:pPr>
      <w:r>
        <w:rPr>
          <w:noProof/>
        </w:rPr>
        <w:drawing>
          <wp:inline distT="0" distB="0" distL="0" distR="0" wp14:anchorId="4A01AB16" wp14:editId="41418F1C">
            <wp:extent cx="5486400" cy="3918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1_1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7147" w14:textId="678D8D09" w:rsidR="003F66A3" w:rsidRDefault="00FA69CA" w:rsidP="003F66A3">
      <w:pPr>
        <w:jc w:val="center"/>
      </w:pPr>
      <w:r>
        <w:rPr>
          <w:noProof/>
        </w:rPr>
        <w:drawing>
          <wp:inline distT="0" distB="0" distL="0" distR="0" wp14:anchorId="3C688F53" wp14:editId="05CC8379">
            <wp:extent cx="5486400" cy="3918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CBD" w14:textId="005FC48E" w:rsidR="003F66A3" w:rsidRDefault="003F66A3" w:rsidP="003F66A3">
      <w:pPr>
        <w:jc w:val="center"/>
      </w:pPr>
      <w:r>
        <w:rPr>
          <w:noProof/>
        </w:rPr>
        <w:drawing>
          <wp:inline distT="0" distB="0" distL="0" distR="0" wp14:anchorId="75042E76" wp14:editId="47990FB2">
            <wp:extent cx="5486400" cy="3918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4_1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4D1" w14:textId="2A62CB66" w:rsidR="00B95A00" w:rsidRDefault="00B95A00" w:rsidP="003F66A3">
      <w:pPr>
        <w:jc w:val="center"/>
      </w:pPr>
      <w:r>
        <w:rPr>
          <w:noProof/>
        </w:rPr>
        <w:drawing>
          <wp:inline distT="0" distB="0" distL="0" distR="0" wp14:anchorId="2B21C98B" wp14:editId="3AAB8C36">
            <wp:extent cx="5486400" cy="3918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6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00" w:rsidSect="006421F3"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40D9F" w14:textId="77777777" w:rsidR="00C40DEF" w:rsidRDefault="00C40DEF" w:rsidP="00B74B58">
      <w:r>
        <w:separator/>
      </w:r>
    </w:p>
  </w:endnote>
  <w:endnote w:type="continuationSeparator" w:id="0">
    <w:p w14:paraId="2ED47406" w14:textId="77777777" w:rsidR="00C40DEF" w:rsidRDefault="00C40DEF" w:rsidP="00B7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75316" w14:textId="77777777" w:rsidR="00C40DEF" w:rsidRDefault="00C40DEF" w:rsidP="00420E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0C8E98" w14:textId="77777777" w:rsidR="00C40DEF" w:rsidRDefault="00C40DEF" w:rsidP="00420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B1BC0" w14:textId="77777777" w:rsidR="00C40DEF" w:rsidRPr="00420E6B" w:rsidRDefault="00C40DEF" w:rsidP="00420E6B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420E6B">
      <w:rPr>
        <w:rStyle w:val="PageNumber"/>
        <w:sz w:val="20"/>
        <w:szCs w:val="20"/>
      </w:rPr>
      <w:fldChar w:fldCharType="begin"/>
    </w:r>
    <w:r w:rsidRPr="00420E6B">
      <w:rPr>
        <w:rStyle w:val="PageNumber"/>
        <w:sz w:val="20"/>
        <w:szCs w:val="20"/>
      </w:rPr>
      <w:instrText xml:space="preserve">PAGE  </w:instrText>
    </w:r>
    <w:r w:rsidRPr="00420E6B">
      <w:rPr>
        <w:rStyle w:val="PageNumber"/>
        <w:sz w:val="20"/>
        <w:szCs w:val="20"/>
      </w:rPr>
      <w:fldChar w:fldCharType="separate"/>
    </w:r>
    <w:r w:rsidR="00504E26">
      <w:rPr>
        <w:rStyle w:val="PageNumber"/>
        <w:noProof/>
        <w:sz w:val="20"/>
        <w:szCs w:val="20"/>
      </w:rPr>
      <w:t>1</w:t>
    </w:r>
    <w:r w:rsidRPr="00420E6B">
      <w:rPr>
        <w:rStyle w:val="PageNumber"/>
        <w:sz w:val="20"/>
        <w:szCs w:val="20"/>
      </w:rPr>
      <w:fldChar w:fldCharType="end"/>
    </w:r>
  </w:p>
  <w:p w14:paraId="210887A2" w14:textId="77777777" w:rsidR="00C40DEF" w:rsidRDefault="00C40DEF" w:rsidP="00420E6B">
    <w:pPr>
      <w:pStyle w:val="Footer"/>
      <w:ind w:right="360"/>
      <w:rPr>
        <w:sz w:val="20"/>
        <w:szCs w:val="20"/>
      </w:rPr>
    </w:pPr>
    <w:r w:rsidRPr="00EF4BE8">
      <w:rPr>
        <w:sz w:val="20"/>
        <w:szCs w:val="20"/>
      </w:rPr>
      <w:t>STAT-GB.2302: Forecasting Time Series Data</w:t>
    </w:r>
  </w:p>
  <w:p w14:paraId="251B26F0" w14:textId="41CCE59D" w:rsidR="00C40DEF" w:rsidRPr="00EF4BE8" w:rsidRDefault="00C40DEF" w:rsidP="00420E6B">
    <w:pPr>
      <w:pStyle w:val="Footer"/>
      <w:ind w:right="360"/>
      <w:rPr>
        <w:sz w:val="20"/>
        <w:szCs w:val="20"/>
      </w:rPr>
    </w:pPr>
    <w:r>
      <w:rPr>
        <w:sz w:val="20"/>
        <w:szCs w:val="20"/>
      </w:rPr>
      <w:t>Prof. Patrick Perry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E2294" w14:textId="77777777" w:rsidR="00C40DEF" w:rsidRDefault="00C40DEF" w:rsidP="00B74B58">
      <w:r>
        <w:separator/>
      </w:r>
    </w:p>
  </w:footnote>
  <w:footnote w:type="continuationSeparator" w:id="0">
    <w:p w14:paraId="19A764DC" w14:textId="77777777" w:rsidR="00C40DEF" w:rsidRDefault="00C40DEF" w:rsidP="00B74B58">
      <w:r>
        <w:continuationSeparator/>
      </w:r>
    </w:p>
  </w:footnote>
  <w:footnote w:id="1">
    <w:p w14:paraId="1BF1605E" w14:textId="77777777" w:rsidR="00C40DEF" w:rsidRPr="00B74B58" w:rsidRDefault="00C40DEF" w:rsidP="00B74B58">
      <w:pPr>
        <w:pStyle w:val="FootnoteText"/>
        <w:rPr>
          <w:sz w:val="20"/>
          <w:szCs w:val="20"/>
        </w:rPr>
      </w:pPr>
      <w:r w:rsidRPr="00B74B58">
        <w:rPr>
          <w:rStyle w:val="FootnoteReference"/>
          <w:sz w:val="20"/>
          <w:szCs w:val="20"/>
        </w:rPr>
        <w:footnoteRef/>
      </w:r>
      <w:r w:rsidRPr="00B74B58">
        <w:rPr>
          <w:sz w:val="20"/>
          <w:szCs w:val="20"/>
        </w:rPr>
        <w:t xml:space="preserve"> https://data.cityofnewyork.us/Social-Services/311-Service-Requests-from-2010-to-Present/erm2-nwe9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58"/>
    <w:rsid w:val="00041E43"/>
    <w:rsid w:val="00053DCB"/>
    <w:rsid w:val="00062987"/>
    <w:rsid w:val="00064EF7"/>
    <w:rsid w:val="000A575A"/>
    <w:rsid w:val="000F21E9"/>
    <w:rsid w:val="00170231"/>
    <w:rsid w:val="001864AC"/>
    <w:rsid w:val="001A04F9"/>
    <w:rsid w:val="001D64B4"/>
    <w:rsid w:val="0024366E"/>
    <w:rsid w:val="00273411"/>
    <w:rsid w:val="002A09BE"/>
    <w:rsid w:val="00367FEE"/>
    <w:rsid w:val="00375BBD"/>
    <w:rsid w:val="00376CE9"/>
    <w:rsid w:val="003E5A63"/>
    <w:rsid w:val="003F66A3"/>
    <w:rsid w:val="00420E6B"/>
    <w:rsid w:val="00504E26"/>
    <w:rsid w:val="005361DF"/>
    <w:rsid w:val="00571C4A"/>
    <w:rsid w:val="006421F3"/>
    <w:rsid w:val="00667B26"/>
    <w:rsid w:val="00673CF4"/>
    <w:rsid w:val="006C6746"/>
    <w:rsid w:val="007513E2"/>
    <w:rsid w:val="00751BDB"/>
    <w:rsid w:val="00777B28"/>
    <w:rsid w:val="007966F3"/>
    <w:rsid w:val="007A62C1"/>
    <w:rsid w:val="00833B30"/>
    <w:rsid w:val="00890C14"/>
    <w:rsid w:val="00924301"/>
    <w:rsid w:val="009A4831"/>
    <w:rsid w:val="009E741A"/>
    <w:rsid w:val="009F73C4"/>
    <w:rsid w:val="00A1429D"/>
    <w:rsid w:val="00B74B58"/>
    <w:rsid w:val="00B95A00"/>
    <w:rsid w:val="00C40DEF"/>
    <w:rsid w:val="00DA3A48"/>
    <w:rsid w:val="00DD7821"/>
    <w:rsid w:val="00EF4BE8"/>
    <w:rsid w:val="00F24226"/>
    <w:rsid w:val="00F978D6"/>
    <w:rsid w:val="00FA69CA"/>
    <w:rsid w:val="00FB4176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B8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74B58"/>
  </w:style>
  <w:style w:type="character" w:customStyle="1" w:styleId="FootnoteTextChar">
    <w:name w:val="Footnote Text Char"/>
    <w:basedOn w:val="DefaultParagraphFont"/>
    <w:link w:val="FootnoteText"/>
    <w:uiPriority w:val="99"/>
    <w:rsid w:val="00B74B58"/>
  </w:style>
  <w:style w:type="character" w:styleId="FootnoteReference">
    <w:name w:val="footnote reference"/>
    <w:basedOn w:val="DefaultParagraphFont"/>
    <w:uiPriority w:val="99"/>
    <w:unhideWhenUsed/>
    <w:rsid w:val="00B74B5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4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8"/>
  </w:style>
  <w:style w:type="paragraph" w:styleId="Footer">
    <w:name w:val="footer"/>
    <w:basedOn w:val="Normal"/>
    <w:link w:val="FooterChar"/>
    <w:uiPriority w:val="99"/>
    <w:unhideWhenUsed/>
    <w:rsid w:val="00EF4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8"/>
  </w:style>
  <w:style w:type="character" w:styleId="PageNumber">
    <w:name w:val="page number"/>
    <w:basedOn w:val="DefaultParagraphFont"/>
    <w:uiPriority w:val="99"/>
    <w:semiHidden/>
    <w:unhideWhenUsed/>
    <w:rsid w:val="00420E6B"/>
  </w:style>
  <w:style w:type="table" w:styleId="TableGrid">
    <w:name w:val="Table Grid"/>
    <w:basedOn w:val="TableNormal"/>
    <w:uiPriority w:val="59"/>
    <w:rsid w:val="00924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43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74B58"/>
  </w:style>
  <w:style w:type="character" w:customStyle="1" w:styleId="FootnoteTextChar">
    <w:name w:val="Footnote Text Char"/>
    <w:basedOn w:val="DefaultParagraphFont"/>
    <w:link w:val="FootnoteText"/>
    <w:uiPriority w:val="99"/>
    <w:rsid w:val="00B74B58"/>
  </w:style>
  <w:style w:type="character" w:styleId="FootnoteReference">
    <w:name w:val="footnote reference"/>
    <w:basedOn w:val="DefaultParagraphFont"/>
    <w:uiPriority w:val="99"/>
    <w:unhideWhenUsed/>
    <w:rsid w:val="00B74B5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4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8"/>
  </w:style>
  <w:style w:type="paragraph" w:styleId="Footer">
    <w:name w:val="footer"/>
    <w:basedOn w:val="Normal"/>
    <w:link w:val="FooterChar"/>
    <w:uiPriority w:val="99"/>
    <w:unhideWhenUsed/>
    <w:rsid w:val="00EF4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8"/>
  </w:style>
  <w:style w:type="character" w:styleId="PageNumber">
    <w:name w:val="page number"/>
    <w:basedOn w:val="DefaultParagraphFont"/>
    <w:uiPriority w:val="99"/>
    <w:semiHidden/>
    <w:unhideWhenUsed/>
    <w:rsid w:val="00420E6B"/>
  </w:style>
  <w:style w:type="table" w:styleId="TableGrid">
    <w:name w:val="Table Grid"/>
    <w:basedOn w:val="TableNormal"/>
    <w:uiPriority w:val="59"/>
    <w:rsid w:val="00924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43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990</Words>
  <Characters>5646</Characters>
  <Application>Microsoft Macintosh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 Luna</dc:creator>
  <cp:keywords/>
  <dc:description/>
  <cp:lastModifiedBy>Kenneth  Luna</cp:lastModifiedBy>
  <cp:revision>34</cp:revision>
  <dcterms:created xsi:type="dcterms:W3CDTF">2015-04-03T17:35:00Z</dcterms:created>
  <dcterms:modified xsi:type="dcterms:W3CDTF">2015-04-07T20:57:00Z</dcterms:modified>
</cp:coreProperties>
</file>