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900A1" w14:textId="5CA6035E" w:rsidR="00FA38D7" w:rsidRDefault="00FA38D7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Kenneth Luna </w:t>
      </w:r>
    </w:p>
    <w:p w14:paraId="71462EDD" w14:textId="0E6B0EBD" w:rsidR="006C31BF" w:rsidRDefault="00FA38D7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35A7A">
        <w:rPr>
          <w:rFonts w:ascii="Times New Roman" w:hAnsi="Times New Roman" w:cs="Times New Roman"/>
        </w:rPr>
        <w:t xml:space="preserve">The data selected for this time series analysis is the stock price of Tesla Motors (ticker: TSLA) dating from June 29, 2010 to May 1, 2015.  The dataset contains 1,219 </w:t>
      </w:r>
      <w:r w:rsidR="00D653E4">
        <w:rPr>
          <w:rFonts w:ascii="Times New Roman" w:hAnsi="Times New Roman" w:cs="Times New Roman"/>
        </w:rPr>
        <w:t>observations, which</w:t>
      </w:r>
      <w:r w:rsidR="00635A7A">
        <w:rPr>
          <w:rFonts w:ascii="Times New Roman" w:hAnsi="Times New Roman" w:cs="Times New Roman"/>
        </w:rPr>
        <w:t xml:space="preserve"> are the closing stock price for each day.  The source of the data is Google Finance</w:t>
      </w:r>
      <w:r w:rsidR="00635A7A">
        <w:rPr>
          <w:rStyle w:val="FootnoteReference"/>
          <w:rFonts w:ascii="Times New Roman" w:hAnsi="Times New Roman" w:cs="Times New Roman"/>
        </w:rPr>
        <w:footnoteReference w:id="1"/>
      </w:r>
      <w:r w:rsidR="00635A7A">
        <w:rPr>
          <w:rFonts w:ascii="Times New Roman" w:hAnsi="Times New Roman" w:cs="Times New Roman"/>
        </w:rPr>
        <w:t>.</w:t>
      </w:r>
    </w:p>
    <w:p w14:paraId="2C80D5EA" w14:textId="77777777" w:rsidR="00635A7A" w:rsidRDefault="00635A7A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TSLA was selected as the sample ticker for this project because it shows characteristics that are ideal for an ARMA-ARCH model.  </w:t>
      </w:r>
      <w:r>
        <w:rPr>
          <w:rFonts w:ascii="Times New Roman" w:hAnsi="Times New Roman" w:cs="Times New Roman"/>
          <w:b/>
        </w:rPr>
        <w:t xml:space="preserve">Figure 1 </w:t>
      </w:r>
      <w:r>
        <w:rPr>
          <w:rFonts w:ascii="Times New Roman" w:hAnsi="Times New Roman" w:cs="Times New Roman"/>
        </w:rPr>
        <w:t xml:space="preserve">highlights the daily stock price of TSLA for the last five years.  </w:t>
      </w:r>
      <w:r w:rsidR="009D0469">
        <w:rPr>
          <w:rFonts w:ascii="Times New Roman" w:hAnsi="Times New Roman" w:cs="Times New Roman"/>
        </w:rPr>
        <w:t xml:space="preserve">The first half of the plot shows periods of relative calm in variance and price.  The ticker is tethered around $25.00 and does not deviate much from the mean.  The second half of the plot tells a different story; the price increases by several orders of magnitude and the variance spikes significantly.  </w:t>
      </w:r>
    </w:p>
    <w:p w14:paraId="659B2EC6" w14:textId="77777777" w:rsidR="009D0469" w:rsidRDefault="009D0469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address this increase in volatility, the log</w:t>
      </w:r>
      <w:r w:rsidR="005A24CF">
        <w:rPr>
          <w:rFonts w:ascii="Times New Roman" w:hAnsi="Times New Roman" w:cs="Times New Roman"/>
        </w:rPr>
        <w:t xml:space="preserve"> of TSLA was taken (log.tsla).  </w:t>
      </w:r>
      <w:r w:rsidR="005A24CF">
        <w:rPr>
          <w:rFonts w:ascii="Times New Roman" w:hAnsi="Times New Roman" w:cs="Times New Roman"/>
          <w:b/>
        </w:rPr>
        <w:t xml:space="preserve">Figure 2 </w:t>
      </w:r>
      <w:r w:rsidR="005A24CF">
        <w:rPr>
          <w:rFonts w:ascii="Times New Roman" w:hAnsi="Times New Roman" w:cs="Times New Roman"/>
        </w:rPr>
        <w:t xml:space="preserve">shows the plot of log.tsla; as expected, the log of TSLA dampens the price variance over time.  For the purpose of this exercise, we </w:t>
      </w:r>
      <w:r w:rsidR="00811589">
        <w:rPr>
          <w:rFonts w:ascii="Times New Roman" w:hAnsi="Times New Roman" w:cs="Times New Roman"/>
        </w:rPr>
        <w:t xml:space="preserve">will continue to use log.tsla.  The ACF and PACF for log.tsla are shown in </w:t>
      </w:r>
      <w:r w:rsidR="00811589">
        <w:rPr>
          <w:rFonts w:ascii="Times New Roman" w:hAnsi="Times New Roman" w:cs="Times New Roman"/>
          <w:b/>
        </w:rPr>
        <w:t xml:space="preserve">Figure 3 </w:t>
      </w:r>
      <w:r w:rsidR="00811589">
        <w:rPr>
          <w:rFonts w:ascii="Times New Roman" w:hAnsi="Times New Roman" w:cs="Times New Roman"/>
        </w:rPr>
        <w:t xml:space="preserve">and </w:t>
      </w:r>
      <w:r w:rsidR="00811589">
        <w:rPr>
          <w:rFonts w:ascii="Times New Roman" w:hAnsi="Times New Roman" w:cs="Times New Roman"/>
          <w:b/>
        </w:rPr>
        <w:t xml:space="preserve">Figure 4 </w:t>
      </w:r>
      <w:r w:rsidR="00811589">
        <w:rPr>
          <w:rFonts w:ascii="Times New Roman" w:hAnsi="Times New Roman" w:cs="Times New Roman"/>
        </w:rPr>
        <w:t>respectively.  The behavior of the A</w:t>
      </w:r>
      <w:r w:rsidR="006A4C44">
        <w:rPr>
          <w:rFonts w:ascii="Times New Roman" w:hAnsi="Times New Roman" w:cs="Times New Roman"/>
        </w:rPr>
        <w:t xml:space="preserve">CF and PACF plots show that tsla.log is a random walk, therefore will require differencing to adjust for this structure.  </w:t>
      </w:r>
    </w:p>
    <w:p w14:paraId="74F0D1AC" w14:textId="17A45679" w:rsidR="009D0469" w:rsidRDefault="00F32518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Figure 5 </w:t>
      </w:r>
      <w:r>
        <w:rPr>
          <w:rFonts w:ascii="Times New Roman" w:hAnsi="Times New Roman" w:cs="Times New Roman"/>
        </w:rPr>
        <w:t>is the 1</w:t>
      </w:r>
      <w:r w:rsidRPr="00F32518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-Difference of log.tsla.  Based on the plot, the daily changes of log.tsla do appear to be </w:t>
      </w:r>
      <w:r w:rsidR="00D653E4">
        <w:rPr>
          <w:rFonts w:ascii="Times New Roman" w:hAnsi="Times New Roman" w:cs="Times New Roman"/>
        </w:rPr>
        <w:t xml:space="preserve">stationary minus a few shocks.  The ACF and PACF plot in </w:t>
      </w:r>
      <w:r w:rsidR="00D653E4">
        <w:rPr>
          <w:rFonts w:ascii="Times New Roman" w:hAnsi="Times New Roman" w:cs="Times New Roman"/>
          <w:b/>
        </w:rPr>
        <w:t>Figure 6</w:t>
      </w:r>
      <w:r w:rsidR="00D653E4">
        <w:rPr>
          <w:rFonts w:ascii="Times New Roman" w:hAnsi="Times New Roman" w:cs="Times New Roman"/>
        </w:rPr>
        <w:t xml:space="preserve"> and </w:t>
      </w:r>
      <w:r w:rsidR="00D653E4">
        <w:rPr>
          <w:rFonts w:ascii="Times New Roman" w:hAnsi="Times New Roman" w:cs="Times New Roman"/>
          <w:b/>
        </w:rPr>
        <w:t xml:space="preserve">Figure 7 </w:t>
      </w:r>
      <w:r w:rsidR="00D653E4">
        <w:rPr>
          <w:rFonts w:ascii="Times New Roman" w:hAnsi="Times New Roman" w:cs="Times New Roman"/>
        </w:rPr>
        <w:t>further supports that the 1</w:t>
      </w:r>
      <w:r w:rsidR="00D653E4" w:rsidRPr="00D653E4">
        <w:rPr>
          <w:rFonts w:ascii="Times New Roman" w:hAnsi="Times New Roman" w:cs="Times New Roman"/>
          <w:vertAlign w:val="superscript"/>
        </w:rPr>
        <w:t>st</w:t>
      </w:r>
      <w:r w:rsidR="00D653E4">
        <w:rPr>
          <w:rFonts w:ascii="Times New Roman" w:hAnsi="Times New Roman" w:cs="Times New Roman"/>
        </w:rPr>
        <w:t>-Difference is closer to stationary when compared to the original log.tsla plots.  To make sure the data was differenced sufficiently, the 2</w:t>
      </w:r>
      <w:r w:rsidR="00D653E4" w:rsidRPr="00D653E4">
        <w:rPr>
          <w:rFonts w:ascii="Times New Roman" w:hAnsi="Times New Roman" w:cs="Times New Roman"/>
          <w:vertAlign w:val="superscript"/>
        </w:rPr>
        <w:t>nd</w:t>
      </w:r>
      <w:r w:rsidR="00D653E4">
        <w:rPr>
          <w:rFonts w:ascii="Times New Roman" w:hAnsi="Times New Roman" w:cs="Times New Roman"/>
        </w:rPr>
        <w:t xml:space="preserve">-Difference is observed in </w:t>
      </w:r>
      <w:r w:rsidR="00D653E4">
        <w:rPr>
          <w:rFonts w:ascii="Times New Roman" w:hAnsi="Times New Roman" w:cs="Times New Roman"/>
          <w:b/>
        </w:rPr>
        <w:t xml:space="preserve">Figure 8.  </w:t>
      </w:r>
      <w:r w:rsidR="008D6E4B">
        <w:rPr>
          <w:rFonts w:ascii="Times New Roman" w:hAnsi="Times New Roman" w:cs="Times New Roman"/>
        </w:rPr>
        <w:t xml:space="preserve">Although the plot does appear to </w:t>
      </w:r>
      <w:r w:rsidR="008D6E4B">
        <w:rPr>
          <w:rFonts w:ascii="Times New Roman" w:hAnsi="Times New Roman" w:cs="Times New Roman"/>
        </w:rPr>
        <w:lastRenderedPageBreak/>
        <w:t xml:space="preserve">be stationary, the ACF and PACF in </w:t>
      </w:r>
      <w:r w:rsidR="008D6E4B">
        <w:rPr>
          <w:rFonts w:ascii="Times New Roman" w:hAnsi="Times New Roman" w:cs="Times New Roman"/>
          <w:b/>
        </w:rPr>
        <w:t xml:space="preserve">Figure 9 </w:t>
      </w:r>
      <w:r w:rsidR="008D6E4B">
        <w:rPr>
          <w:rFonts w:ascii="Times New Roman" w:hAnsi="Times New Roman" w:cs="Times New Roman"/>
        </w:rPr>
        <w:t xml:space="preserve">and </w:t>
      </w:r>
      <w:r w:rsidR="008D6E4B">
        <w:rPr>
          <w:rFonts w:ascii="Times New Roman" w:hAnsi="Times New Roman" w:cs="Times New Roman"/>
          <w:b/>
        </w:rPr>
        <w:t xml:space="preserve">Figure 10 </w:t>
      </w:r>
      <w:r w:rsidR="008D6E4B">
        <w:rPr>
          <w:rFonts w:ascii="Times New Roman" w:hAnsi="Times New Roman" w:cs="Times New Roman"/>
        </w:rPr>
        <w:t>do show signs of over-differencing.  Lag-1 is approximately -0.5, a strong i</w:t>
      </w:r>
      <w:r w:rsidR="00454002">
        <w:rPr>
          <w:rFonts w:ascii="Times New Roman" w:hAnsi="Times New Roman" w:cs="Times New Roman"/>
        </w:rPr>
        <w:t xml:space="preserve">ndicator of over-differencing.  Based on this preliminary work, the ARIMA model that appears to best fit this data is the ARIMA(1, 0, 1).  </w:t>
      </w:r>
    </w:p>
    <w:p w14:paraId="638B347C" w14:textId="2D461B14" w:rsidR="00C6270D" w:rsidRDefault="00C6270D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confirm which model is best, the AICC for all models with (p) and (q) in range 0 to 2 were observed.  </w:t>
      </w:r>
      <w:r>
        <w:rPr>
          <w:rFonts w:ascii="Times New Roman" w:hAnsi="Times New Roman" w:cs="Times New Roman"/>
          <w:b/>
        </w:rPr>
        <w:t xml:space="preserve">Table 1 </w:t>
      </w:r>
      <w:r>
        <w:rPr>
          <w:rFonts w:ascii="Times New Roman" w:hAnsi="Times New Roman" w:cs="Times New Roman"/>
        </w:rPr>
        <w:t xml:space="preserve">highlights the resulting AICC values; based on these observations, the best performing model </w:t>
      </w:r>
      <w:r w:rsidR="004C11AD">
        <w:rPr>
          <w:rFonts w:ascii="Times New Roman" w:hAnsi="Times New Roman" w:cs="Times New Roman"/>
        </w:rPr>
        <w:t xml:space="preserve">is the mentioned </w:t>
      </w:r>
      <w:r>
        <w:rPr>
          <w:rFonts w:ascii="Times New Roman" w:hAnsi="Times New Roman" w:cs="Times New Roman"/>
        </w:rPr>
        <w:t>A</w:t>
      </w:r>
      <w:r w:rsidR="00F9016C">
        <w:rPr>
          <w:rFonts w:ascii="Times New Roman" w:hAnsi="Times New Roman" w:cs="Times New Roman"/>
        </w:rPr>
        <w:t xml:space="preserve">RIMA(0, 1, 0) with a constant.  The summary of the best fitting model can be found in </w:t>
      </w:r>
      <w:r w:rsidR="00F9016C" w:rsidRPr="00F9016C">
        <w:rPr>
          <w:rFonts w:ascii="Times New Roman" w:hAnsi="Times New Roman" w:cs="Times New Roman"/>
          <w:b/>
        </w:rPr>
        <w:t>Table 2</w:t>
      </w:r>
      <w:r w:rsidR="00F9016C">
        <w:rPr>
          <w:rFonts w:ascii="Times New Roman" w:hAnsi="Times New Roman" w:cs="Times New Roman"/>
          <w:b/>
        </w:rPr>
        <w:t xml:space="preserve">.  </w:t>
      </w:r>
      <w:r w:rsidR="00436167">
        <w:rPr>
          <w:rFonts w:ascii="Times New Roman" w:hAnsi="Times New Roman" w:cs="Times New Roman"/>
        </w:rPr>
        <w:t xml:space="preserve">The forecast model generates 95% confidence interval range of 5.353059 to 5.491966 as shown in </w:t>
      </w:r>
      <w:r w:rsidR="00436167" w:rsidRPr="00436167">
        <w:rPr>
          <w:rFonts w:ascii="Times New Roman" w:hAnsi="Times New Roman" w:cs="Times New Roman"/>
          <w:b/>
        </w:rPr>
        <w:t>Table 3</w:t>
      </w:r>
      <w:r w:rsidR="004C11AD">
        <w:rPr>
          <w:rFonts w:ascii="Times New Roman" w:hAnsi="Times New Roman" w:cs="Times New Roman"/>
          <w:b/>
        </w:rPr>
        <w:t xml:space="preserve"> </w:t>
      </w:r>
      <w:r w:rsidR="004C11AD">
        <w:rPr>
          <w:rFonts w:ascii="Times New Roman" w:hAnsi="Times New Roman" w:cs="Times New Roman"/>
        </w:rPr>
        <w:t>and is the following formula:</w:t>
      </w:r>
    </w:p>
    <w:p w14:paraId="3CB956DC" w14:textId="497561FF" w:rsidR="004C11AD" w:rsidRDefault="004C11AD" w:rsidP="00FA38D7">
      <w:pPr>
        <w:spacing w:line="480" w:lineRule="auto"/>
        <w:jc w:val="center"/>
        <w:rPr>
          <w:rFonts w:ascii="Lucida Grande" w:hAnsi="Lucida Grande" w:cs="Lucida Grande"/>
          <w:color w:val="000000"/>
        </w:rPr>
      </w:pPr>
      <w:r w:rsidRPr="004C11AD">
        <w:rPr>
          <w:rFonts w:ascii="Times New Roman" w:hAnsi="Times New Roman" w:cs="Times New Roman"/>
        </w:rPr>
        <w:t xml:space="preserve">x{t} = x{t-1} + .0018 + </w:t>
      </w:r>
      <w:r w:rsidRPr="004C11AD">
        <w:rPr>
          <w:rFonts w:ascii="Lucida Grande" w:hAnsi="Lucida Grande" w:cs="Lucida Grande"/>
          <w:color w:val="000000"/>
        </w:rPr>
        <w:t>ε</w:t>
      </w:r>
      <w:r>
        <w:rPr>
          <w:rFonts w:ascii="Lucida Grande" w:hAnsi="Lucida Grande" w:cs="Lucida Grande"/>
          <w:color w:val="000000"/>
        </w:rPr>
        <w:t>{t}</w:t>
      </w:r>
    </w:p>
    <w:p w14:paraId="373D5DE3" w14:textId="0A2C63E5" w:rsidR="004C11AD" w:rsidRDefault="004C11AD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formula makes sense for stocks as prices are never really predictable.  If tomorrow’s prices were predictable, investors would buy the stock today, realizing tomorrow’s price already.  </w:t>
      </w:r>
    </w:p>
    <w:p w14:paraId="6400F1C6" w14:textId="169FA7A7" w:rsidR="004C11AD" w:rsidRDefault="004C11AD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Next, the plo</w:t>
      </w:r>
      <w:r w:rsidR="00184A8D">
        <w:rPr>
          <w:rFonts w:ascii="Times New Roman" w:hAnsi="Times New Roman" w:cs="Times New Roman"/>
        </w:rPr>
        <w:t>t of the residuals is explored.  One can still</w:t>
      </w:r>
      <w:r w:rsidR="008B4DA9">
        <w:rPr>
          <w:rFonts w:ascii="Times New Roman" w:hAnsi="Times New Roman" w:cs="Times New Roman"/>
        </w:rPr>
        <w:t xml:space="preserve"> notice</w:t>
      </w:r>
      <w:r w:rsidR="00184A8D">
        <w:rPr>
          <w:rFonts w:ascii="Times New Roman" w:hAnsi="Times New Roman" w:cs="Times New Roman"/>
        </w:rPr>
        <w:t xml:space="preserve"> changes in variance sporadically in </w:t>
      </w:r>
      <w:r w:rsidR="00184A8D">
        <w:rPr>
          <w:rFonts w:ascii="Times New Roman" w:hAnsi="Times New Roman" w:cs="Times New Roman"/>
          <w:b/>
        </w:rPr>
        <w:t xml:space="preserve">Figure 11.  </w:t>
      </w:r>
      <w:r w:rsidR="00184A8D">
        <w:rPr>
          <w:rFonts w:ascii="Times New Roman" w:hAnsi="Times New Roman" w:cs="Times New Roman"/>
        </w:rPr>
        <w:t xml:space="preserve">The ACF and PACF plots in </w:t>
      </w:r>
      <w:r w:rsidR="00184A8D">
        <w:rPr>
          <w:rFonts w:ascii="Times New Roman" w:hAnsi="Times New Roman" w:cs="Times New Roman"/>
          <w:b/>
        </w:rPr>
        <w:t xml:space="preserve">Figure 12 </w:t>
      </w:r>
      <w:r w:rsidR="00184A8D">
        <w:rPr>
          <w:rFonts w:ascii="Times New Roman" w:hAnsi="Times New Roman" w:cs="Times New Roman"/>
        </w:rPr>
        <w:t xml:space="preserve">and </w:t>
      </w:r>
      <w:r w:rsidR="00184A8D">
        <w:rPr>
          <w:rFonts w:ascii="Times New Roman" w:hAnsi="Times New Roman" w:cs="Times New Roman"/>
          <w:b/>
        </w:rPr>
        <w:t xml:space="preserve">Figure 13 </w:t>
      </w:r>
      <w:r w:rsidR="00184A8D">
        <w:rPr>
          <w:rFonts w:ascii="Times New Roman" w:hAnsi="Times New Roman" w:cs="Times New Roman"/>
        </w:rPr>
        <w:t xml:space="preserve">for the residuals also reveal increased volatility holding for small periods of time.  The ACF and PACF of the squared residuals in </w:t>
      </w:r>
      <w:r w:rsidR="00184A8D">
        <w:rPr>
          <w:rFonts w:ascii="Times New Roman" w:hAnsi="Times New Roman" w:cs="Times New Roman"/>
          <w:b/>
        </w:rPr>
        <w:t xml:space="preserve">Figure 14 </w:t>
      </w:r>
      <w:r w:rsidR="00184A8D">
        <w:rPr>
          <w:rFonts w:ascii="Times New Roman" w:hAnsi="Times New Roman" w:cs="Times New Roman"/>
        </w:rPr>
        <w:t xml:space="preserve">and </w:t>
      </w:r>
      <w:r w:rsidR="00184A8D">
        <w:rPr>
          <w:rFonts w:ascii="Times New Roman" w:hAnsi="Times New Roman" w:cs="Times New Roman"/>
          <w:b/>
        </w:rPr>
        <w:t xml:space="preserve">Figure 15 </w:t>
      </w:r>
      <w:r w:rsidR="00184A8D">
        <w:rPr>
          <w:rFonts w:ascii="Times New Roman" w:hAnsi="Times New Roman" w:cs="Times New Roman"/>
        </w:rPr>
        <w:t xml:space="preserve">further confirm that </w:t>
      </w:r>
      <w:r w:rsidR="006E7C1B">
        <w:rPr>
          <w:rFonts w:ascii="Times New Roman" w:hAnsi="Times New Roman" w:cs="Times New Roman"/>
        </w:rPr>
        <w:t xml:space="preserve">the ARIMA model has not completely removed all periods of increased variance; there are signs of clusters around lag-10, lag-17 and lag-25.  </w:t>
      </w:r>
      <w:r w:rsidR="008B4DA9">
        <w:rPr>
          <w:rFonts w:ascii="Times New Roman" w:hAnsi="Times New Roman" w:cs="Times New Roman"/>
        </w:rPr>
        <w:t xml:space="preserve">Although the residuals are not correlated, there are signs of conditional heteroskedasticity – where variance size characteristics are clustered throughout periods of time.  </w:t>
      </w:r>
      <w:r w:rsidR="006E7C1B">
        <w:rPr>
          <w:rFonts w:ascii="Times New Roman" w:hAnsi="Times New Roman" w:cs="Times New Roman"/>
        </w:rPr>
        <w:t xml:space="preserve">ARIMA models do not capture those moments of continued shock so the ARCH model will be considered.  </w:t>
      </w:r>
    </w:p>
    <w:p w14:paraId="55A8B02A" w14:textId="7A455FCC" w:rsidR="009D0469" w:rsidRPr="00FA38D7" w:rsidRDefault="006E7C1B" w:rsidP="00FA38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AICC for the ARCH(q) and the GARCH(1,1,) models are then used to find the best fitting model.  Values for (q) range from 0 to 10 for the ARCH model.  The best fitting model </w:t>
      </w:r>
      <w:r w:rsidR="005F49F1">
        <w:rPr>
          <w:rFonts w:ascii="Times New Roman" w:hAnsi="Times New Roman" w:cs="Times New Roman"/>
        </w:rPr>
        <w:t xml:space="preserve">based on the AICC values in </w:t>
      </w:r>
      <w:r w:rsidR="005F49F1">
        <w:rPr>
          <w:rFonts w:ascii="Times New Roman" w:hAnsi="Times New Roman" w:cs="Times New Roman"/>
          <w:b/>
        </w:rPr>
        <w:t xml:space="preserve">Table 4 </w:t>
      </w:r>
      <w:r w:rsidR="005F49F1">
        <w:rPr>
          <w:rFonts w:ascii="Times New Roman" w:hAnsi="Times New Roman" w:cs="Times New Roman"/>
        </w:rPr>
        <w:t xml:space="preserve">and </w:t>
      </w:r>
      <w:r w:rsidR="005F49F1">
        <w:rPr>
          <w:rFonts w:ascii="Times New Roman" w:hAnsi="Times New Roman" w:cs="Times New Roman"/>
          <w:b/>
        </w:rPr>
        <w:t xml:space="preserve">Table 5 </w:t>
      </w:r>
      <w:r w:rsidR="005F49F1">
        <w:rPr>
          <w:rFonts w:ascii="Times New Roman" w:hAnsi="Times New Roman" w:cs="Times New Roman"/>
        </w:rPr>
        <w:t>is the ARCH(5) m</w:t>
      </w:r>
      <w:r w:rsidR="00FA38D7">
        <w:rPr>
          <w:rFonts w:ascii="Times New Roman" w:hAnsi="Times New Roman" w:cs="Times New Roman"/>
        </w:rPr>
        <w:t xml:space="preserve">odel.  Based on the p-values in </w:t>
      </w:r>
      <w:r w:rsidR="00FA38D7">
        <w:rPr>
          <w:rFonts w:ascii="Times New Roman" w:hAnsi="Times New Roman" w:cs="Times New Roman"/>
          <w:b/>
        </w:rPr>
        <w:t xml:space="preserve">Table 6, </w:t>
      </w:r>
      <w:r w:rsidR="00FA38D7">
        <w:rPr>
          <w:rFonts w:ascii="Times New Roman" w:hAnsi="Times New Roman" w:cs="Times New Roman"/>
        </w:rPr>
        <w:t xml:space="preserve">it appears that all of the coefficients are statistically significant except the last one, a5.  If the one-step ahead forecast is constructed, the 95% confidence interval range is 5.354979 to 5.490047, which is slightly more compact then the ARIMA confidence interval.  </w:t>
      </w:r>
    </w:p>
    <w:p w14:paraId="05D3470C" w14:textId="0595DCAB" w:rsidR="009D0469" w:rsidRDefault="008B4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594658" w14:textId="77777777" w:rsidR="009D0469" w:rsidRDefault="009D0469">
      <w:pPr>
        <w:rPr>
          <w:rFonts w:ascii="Times New Roman" w:hAnsi="Times New Roman" w:cs="Times New Roman"/>
        </w:rPr>
      </w:pPr>
    </w:p>
    <w:p w14:paraId="1CEC4D2D" w14:textId="77777777" w:rsidR="009D0469" w:rsidRDefault="009D0469">
      <w:pPr>
        <w:rPr>
          <w:rFonts w:ascii="Times New Roman" w:hAnsi="Times New Roman" w:cs="Times New Roman"/>
        </w:rPr>
      </w:pPr>
    </w:p>
    <w:p w14:paraId="30597B75" w14:textId="77777777" w:rsidR="009D0469" w:rsidRDefault="009D0469">
      <w:pPr>
        <w:rPr>
          <w:rFonts w:ascii="Times New Roman" w:hAnsi="Times New Roman" w:cs="Times New Roman"/>
        </w:rPr>
      </w:pPr>
    </w:p>
    <w:p w14:paraId="67DC2542" w14:textId="77777777" w:rsidR="00FA38D7" w:rsidRDefault="00FA38D7">
      <w:pPr>
        <w:rPr>
          <w:rFonts w:ascii="Times New Roman" w:hAnsi="Times New Roman" w:cs="Times New Roman"/>
        </w:rPr>
      </w:pPr>
    </w:p>
    <w:p w14:paraId="038E3557" w14:textId="77777777" w:rsidR="00FA38D7" w:rsidRDefault="00FA38D7">
      <w:pPr>
        <w:rPr>
          <w:rFonts w:ascii="Times New Roman" w:hAnsi="Times New Roman" w:cs="Times New Roman"/>
        </w:rPr>
      </w:pPr>
    </w:p>
    <w:p w14:paraId="01A0EE5A" w14:textId="77777777" w:rsidR="00FA38D7" w:rsidRDefault="00FA38D7">
      <w:pPr>
        <w:rPr>
          <w:rFonts w:ascii="Times New Roman" w:hAnsi="Times New Roman" w:cs="Times New Roman"/>
        </w:rPr>
      </w:pPr>
    </w:p>
    <w:p w14:paraId="15E49876" w14:textId="77777777" w:rsidR="00FA38D7" w:rsidRDefault="00FA38D7">
      <w:pPr>
        <w:rPr>
          <w:rFonts w:ascii="Times New Roman" w:hAnsi="Times New Roman" w:cs="Times New Roman"/>
        </w:rPr>
      </w:pPr>
    </w:p>
    <w:p w14:paraId="7DB9AF52" w14:textId="77777777" w:rsidR="00FA38D7" w:rsidRDefault="00FA38D7">
      <w:pPr>
        <w:rPr>
          <w:rFonts w:ascii="Times New Roman" w:hAnsi="Times New Roman" w:cs="Times New Roman"/>
        </w:rPr>
      </w:pPr>
    </w:p>
    <w:p w14:paraId="5787DAEE" w14:textId="77777777" w:rsidR="00FA38D7" w:rsidRDefault="00FA38D7">
      <w:pPr>
        <w:rPr>
          <w:rFonts w:ascii="Times New Roman" w:hAnsi="Times New Roman" w:cs="Times New Roman"/>
        </w:rPr>
      </w:pPr>
    </w:p>
    <w:p w14:paraId="11E6C18B" w14:textId="77777777" w:rsidR="00FA38D7" w:rsidRDefault="00FA38D7">
      <w:pPr>
        <w:rPr>
          <w:rFonts w:ascii="Times New Roman" w:hAnsi="Times New Roman" w:cs="Times New Roman"/>
        </w:rPr>
      </w:pPr>
    </w:p>
    <w:p w14:paraId="5C9BA63F" w14:textId="77777777" w:rsidR="00FA38D7" w:rsidRDefault="00FA38D7">
      <w:pPr>
        <w:rPr>
          <w:rFonts w:ascii="Times New Roman" w:hAnsi="Times New Roman" w:cs="Times New Roman"/>
        </w:rPr>
      </w:pPr>
    </w:p>
    <w:p w14:paraId="5A4593EE" w14:textId="77777777" w:rsidR="00FA38D7" w:rsidRDefault="00FA38D7">
      <w:pPr>
        <w:rPr>
          <w:rFonts w:ascii="Times New Roman" w:hAnsi="Times New Roman" w:cs="Times New Roman"/>
        </w:rPr>
      </w:pPr>
    </w:p>
    <w:p w14:paraId="3A48F185" w14:textId="77777777" w:rsidR="00FA38D7" w:rsidRDefault="00FA38D7">
      <w:pPr>
        <w:rPr>
          <w:rFonts w:ascii="Times New Roman" w:hAnsi="Times New Roman" w:cs="Times New Roman"/>
        </w:rPr>
      </w:pPr>
    </w:p>
    <w:p w14:paraId="1B664FEA" w14:textId="77777777" w:rsidR="00FA38D7" w:rsidRDefault="00FA38D7">
      <w:pPr>
        <w:rPr>
          <w:rFonts w:ascii="Times New Roman" w:hAnsi="Times New Roman" w:cs="Times New Roman"/>
        </w:rPr>
      </w:pPr>
    </w:p>
    <w:p w14:paraId="3F147A42" w14:textId="77777777" w:rsidR="00FA38D7" w:rsidRDefault="00FA38D7">
      <w:pPr>
        <w:rPr>
          <w:rFonts w:ascii="Times New Roman" w:hAnsi="Times New Roman" w:cs="Times New Roman"/>
        </w:rPr>
      </w:pPr>
    </w:p>
    <w:p w14:paraId="0FA2FCF0" w14:textId="77777777" w:rsidR="00FA38D7" w:rsidRDefault="00FA38D7">
      <w:pPr>
        <w:rPr>
          <w:rFonts w:ascii="Times New Roman" w:hAnsi="Times New Roman" w:cs="Times New Roman"/>
        </w:rPr>
      </w:pPr>
    </w:p>
    <w:p w14:paraId="7ACE372F" w14:textId="77777777" w:rsidR="00FA38D7" w:rsidRDefault="00FA38D7">
      <w:pPr>
        <w:rPr>
          <w:rFonts w:ascii="Times New Roman" w:hAnsi="Times New Roman" w:cs="Times New Roman"/>
        </w:rPr>
      </w:pPr>
    </w:p>
    <w:p w14:paraId="54280886" w14:textId="77777777" w:rsidR="00FA38D7" w:rsidRDefault="00FA38D7">
      <w:pPr>
        <w:rPr>
          <w:rFonts w:ascii="Times New Roman" w:hAnsi="Times New Roman" w:cs="Times New Roman"/>
        </w:rPr>
      </w:pPr>
    </w:p>
    <w:p w14:paraId="1EDBDFAA" w14:textId="77777777" w:rsidR="00FA38D7" w:rsidRDefault="00FA38D7">
      <w:pPr>
        <w:rPr>
          <w:rFonts w:ascii="Times New Roman" w:hAnsi="Times New Roman" w:cs="Times New Roman"/>
        </w:rPr>
      </w:pPr>
    </w:p>
    <w:p w14:paraId="74202E35" w14:textId="77777777" w:rsidR="00FA38D7" w:rsidRDefault="00FA38D7">
      <w:pPr>
        <w:rPr>
          <w:rFonts w:ascii="Times New Roman" w:hAnsi="Times New Roman" w:cs="Times New Roman"/>
        </w:rPr>
      </w:pPr>
    </w:p>
    <w:p w14:paraId="1199A2F7" w14:textId="77777777" w:rsidR="00FA38D7" w:rsidRDefault="00FA38D7">
      <w:pPr>
        <w:rPr>
          <w:rFonts w:ascii="Times New Roman" w:hAnsi="Times New Roman" w:cs="Times New Roman"/>
        </w:rPr>
      </w:pPr>
    </w:p>
    <w:p w14:paraId="4E0D8D02" w14:textId="77777777" w:rsidR="00FA38D7" w:rsidRDefault="00FA38D7">
      <w:pPr>
        <w:rPr>
          <w:rFonts w:ascii="Times New Roman" w:hAnsi="Times New Roman" w:cs="Times New Roman"/>
        </w:rPr>
      </w:pPr>
    </w:p>
    <w:p w14:paraId="78E7772A" w14:textId="77777777" w:rsidR="00FA38D7" w:rsidRDefault="00FA38D7">
      <w:pPr>
        <w:rPr>
          <w:rFonts w:ascii="Times New Roman" w:hAnsi="Times New Roman" w:cs="Times New Roman"/>
        </w:rPr>
      </w:pPr>
    </w:p>
    <w:p w14:paraId="62D3869C" w14:textId="77777777" w:rsidR="00FA38D7" w:rsidRDefault="00FA38D7">
      <w:pPr>
        <w:rPr>
          <w:rFonts w:ascii="Times New Roman" w:hAnsi="Times New Roman" w:cs="Times New Roman"/>
        </w:rPr>
      </w:pPr>
    </w:p>
    <w:p w14:paraId="67DFEE5A" w14:textId="77777777" w:rsidR="00FA38D7" w:rsidRDefault="00FA38D7">
      <w:pPr>
        <w:rPr>
          <w:rFonts w:ascii="Times New Roman" w:hAnsi="Times New Roman" w:cs="Times New Roman"/>
        </w:rPr>
      </w:pPr>
    </w:p>
    <w:p w14:paraId="14C7F12D" w14:textId="77777777" w:rsidR="00FA38D7" w:rsidRDefault="00FA38D7">
      <w:pPr>
        <w:rPr>
          <w:rFonts w:ascii="Times New Roman" w:hAnsi="Times New Roman" w:cs="Times New Roman"/>
        </w:rPr>
      </w:pPr>
    </w:p>
    <w:p w14:paraId="557C1633" w14:textId="77777777" w:rsidR="00FA38D7" w:rsidRDefault="00FA38D7">
      <w:pPr>
        <w:rPr>
          <w:rFonts w:ascii="Times New Roman" w:hAnsi="Times New Roman" w:cs="Times New Roman"/>
        </w:rPr>
      </w:pPr>
    </w:p>
    <w:p w14:paraId="146C8DFA" w14:textId="77777777" w:rsidR="00FA38D7" w:rsidRDefault="00FA38D7">
      <w:pPr>
        <w:rPr>
          <w:rFonts w:ascii="Times New Roman" w:hAnsi="Times New Roman" w:cs="Times New Roman"/>
        </w:rPr>
      </w:pPr>
    </w:p>
    <w:p w14:paraId="73E2159C" w14:textId="77777777" w:rsidR="009D0469" w:rsidRDefault="009D0469">
      <w:pPr>
        <w:rPr>
          <w:rFonts w:ascii="Times New Roman" w:hAnsi="Times New Roman" w:cs="Times New Roman"/>
        </w:rPr>
      </w:pPr>
    </w:p>
    <w:p w14:paraId="43640745" w14:textId="77777777" w:rsidR="00635A7A" w:rsidRDefault="00635A7A">
      <w:pPr>
        <w:rPr>
          <w:rFonts w:ascii="Times New Roman" w:hAnsi="Times New Roman" w:cs="Times New Roman"/>
        </w:rPr>
      </w:pPr>
    </w:p>
    <w:p w14:paraId="6F77B6CF" w14:textId="77777777" w:rsidR="00635A7A" w:rsidRDefault="00635A7A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82ADCC" wp14:editId="2CABA3B0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DBF" w14:textId="77777777" w:rsidR="009D0469" w:rsidRDefault="009D0469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7A6602" wp14:editId="29FC015A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F8F1" w14:textId="56800739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A1EF1A" wp14:editId="475E604F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_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643E" w14:textId="2ACB78E3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E9788D" wp14:editId="49C29C21">
            <wp:extent cx="4572000" cy="27432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377F" w14:textId="04B0E96B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F75F07" wp14:editId="5A054903">
            <wp:extent cx="4572000" cy="27432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_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B018" w14:textId="207341AB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AAF267" wp14:editId="3921F7A7">
            <wp:extent cx="4572000" cy="27432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B1F6" w14:textId="34AB05A2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03D479" wp14:editId="4DFAD769">
            <wp:extent cx="4572000" cy="27432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9_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2FEB" w14:textId="3C760797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0DEEB2" wp14:editId="0C8AD70B">
            <wp:extent cx="4572000" cy="27432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16C4" w14:textId="733773C2" w:rsidR="00184A8D" w:rsidRDefault="00184A8D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60BF61" wp14:editId="1490A2AC">
            <wp:extent cx="4572000" cy="27432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2_1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2CCC" w14:textId="0CE3B143" w:rsidR="00D653E4" w:rsidRDefault="008B4DA9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581D26" wp14:editId="38F5ADC5">
            <wp:extent cx="4572000" cy="27432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4_15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939F" w14:textId="179EC021" w:rsidR="008D6E4B" w:rsidRDefault="00AB5F98" w:rsidP="006E27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3D835C" wp14:editId="414D06D5">
            <wp:extent cx="4572000" cy="27432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6_17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F47E" w14:textId="77777777" w:rsidR="00AB5F98" w:rsidRDefault="00AB5F98" w:rsidP="006E27E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0D99CF39" w14:textId="1BEDB64C" w:rsidR="006E27EB" w:rsidRDefault="006E27EB" w:rsidP="006E27EB">
      <w:pPr>
        <w:jc w:val="center"/>
        <w:rPr>
          <w:rFonts w:ascii="Times New Roman" w:hAnsi="Times New Roman" w:cs="Times New Roman"/>
        </w:rPr>
      </w:pPr>
    </w:p>
    <w:p w14:paraId="59EA53B3" w14:textId="45687333" w:rsidR="006E27EB" w:rsidRDefault="006E27EB" w:rsidP="006E27EB">
      <w:pPr>
        <w:jc w:val="center"/>
        <w:rPr>
          <w:rFonts w:ascii="Times New Roman" w:hAnsi="Times New Roman" w:cs="Times New Roman"/>
        </w:rPr>
      </w:pPr>
    </w:p>
    <w:p w14:paraId="4FCCBC58" w14:textId="77777777" w:rsidR="00951674" w:rsidRDefault="00951674">
      <w:pPr>
        <w:rPr>
          <w:rFonts w:ascii="Times New Roman" w:hAnsi="Times New Roman" w:cs="Times New Roman"/>
        </w:rPr>
      </w:pPr>
    </w:p>
    <w:p w14:paraId="7C6264B7" w14:textId="77777777" w:rsidR="00951674" w:rsidRDefault="00951674">
      <w:pPr>
        <w:rPr>
          <w:rFonts w:ascii="Times New Roman" w:hAnsi="Times New Roman" w:cs="Times New Roman"/>
        </w:rPr>
      </w:pPr>
    </w:p>
    <w:p w14:paraId="5BD07A03" w14:textId="77777777" w:rsidR="00951674" w:rsidRDefault="00951674">
      <w:pPr>
        <w:rPr>
          <w:rFonts w:ascii="Times New Roman" w:hAnsi="Times New Roman" w:cs="Times New Roman"/>
        </w:rPr>
      </w:pPr>
    </w:p>
    <w:p w14:paraId="67E5BC39" w14:textId="77777777" w:rsidR="00951674" w:rsidRDefault="00951674">
      <w:pPr>
        <w:rPr>
          <w:rFonts w:ascii="Times New Roman" w:hAnsi="Times New Roman" w:cs="Times New Roman"/>
        </w:rPr>
      </w:pPr>
    </w:p>
    <w:p w14:paraId="7372CF90" w14:textId="77777777" w:rsidR="00951674" w:rsidRDefault="00951674">
      <w:pPr>
        <w:rPr>
          <w:rFonts w:ascii="Times New Roman" w:hAnsi="Times New Roman" w:cs="Times New Roman"/>
        </w:rPr>
      </w:pPr>
    </w:p>
    <w:p w14:paraId="1691C6FE" w14:textId="77777777" w:rsidR="00951674" w:rsidRDefault="00951674">
      <w:pPr>
        <w:rPr>
          <w:rFonts w:ascii="Times New Roman" w:hAnsi="Times New Roman" w:cs="Times New Roman"/>
        </w:rPr>
      </w:pPr>
    </w:p>
    <w:p w14:paraId="718BC587" w14:textId="77777777" w:rsidR="00951674" w:rsidRDefault="00951674">
      <w:pPr>
        <w:rPr>
          <w:rFonts w:ascii="Times New Roman" w:hAnsi="Times New Roman" w:cs="Times New Roman"/>
        </w:rPr>
      </w:pPr>
    </w:p>
    <w:p w14:paraId="1A25C248" w14:textId="77777777" w:rsidR="00951674" w:rsidRDefault="00951674">
      <w:pPr>
        <w:rPr>
          <w:rFonts w:ascii="Times New Roman" w:hAnsi="Times New Roman" w:cs="Times New Roman"/>
        </w:rPr>
      </w:pPr>
    </w:p>
    <w:p w14:paraId="359B0FE9" w14:textId="77777777" w:rsidR="00951674" w:rsidRDefault="00951674">
      <w:pPr>
        <w:rPr>
          <w:rFonts w:ascii="Times New Roman" w:hAnsi="Times New Roman" w:cs="Times New Roman"/>
        </w:rPr>
      </w:pPr>
    </w:p>
    <w:p w14:paraId="18BE29A0" w14:textId="77777777" w:rsidR="00951674" w:rsidRDefault="00951674">
      <w:pPr>
        <w:rPr>
          <w:rFonts w:ascii="Times New Roman" w:hAnsi="Times New Roman" w:cs="Times New Roman"/>
        </w:rPr>
      </w:pPr>
    </w:p>
    <w:p w14:paraId="524F99A5" w14:textId="77777777" w:rsidR="00951674" w:rsidRDefault="00951674">
      <w:pPr>
        <w:rPr>
          <w:rFonts w:ascii="Times New Roman" w:hAnsi="Times New Roman" w:cs="Times New Roman"/>
        </w:rPr>
      </w:pPr>
    </w:p>
    <w:p w14:paraId="52C62376" w14:textId="77777777" w:rsidR="00951674" w:rsidRDefault="00951674">
      <w:pPr>
        <w:rPr>
          <w:rFonts w:ascii="Times New Roman" w:hAnsi="Times New Roman" w:cs="Times New Roman"/>
        </w:rPr>
      </w:pPr>
    </w:p>
    <w:p w14:paraId="164B3B83" w14:textId="77777777" w:rsidR="00951674" w:rsidRDefault="00951674">
      <w:pPr>
        <w:rPr>
          <w:rFonts w:ascii="Times New Roman" w:hAnsi="Times New Roman" w:cs="Times New Roman"/>
        </w:rPr>
      </w:pPr>
    </w:p>
    <w:p w14:paraId="5F36DBAB" w14:textId="77777777" w:rsidR="00951674" w:rsidRDefault="00951674">
      <w:pPr>
        <w:rPr>
          <w:rFonts w:ascii="Times New Roman" w:hAnsi="Times New Roman" w:cs="Times New Roman"/>
        </w:rPr>
      </w:pPr>
    </w:p>
    <w:p w14:paraId="5696091C" w14:textId="77777777" w:rsidR="00951674" w:rsidRDefault="00951674">
      <w:pPr>
        <w:rPr>
          <w:rFonts w:ascii="Times New Roman" w:hAnsi="Times New Roman" w:cs="Times New Roman"/>
        </w:rPr>
      </w:pPr>
    </w:p>
    <w:p w14:paraId="54E856C8" w14:textId="77777777" w:rsidR="00951674" w:rsidRDefault="00951674">
      <w:pPr>
        <w:rPr>
          <w:rFonts w:ascii="Times New Roman" w:hAnsi="Times New Roman" w:cs="Times New Roman"/>
        </w:rPr>
      </w:pPr>
    </w:p>
    <w:p w14:paraId="50879043" w14:textId="77777777" w:rsidR="006E27EB" w:rsidRDefault="006E27EB">
      <w:pPr>
        <w:rPr>
          <w:rFonts w:ascii="Monaco" w:hAnsi="Monaco" w:cs="Times New Roman"/>
          <w:b/>
        </w:rPr>
      </w:pPr>
    </w:p>
    <w:p w14:paraId="7BB628F0" w14:textId="77777777" w:rsidR="006E27EB" w:rsidRDefault="006E27EB">
      <w:pPr>
        <w:rPr>
          <w:rFonts w:ascii="Monaco" w:hAnsi="Monaco" w:cs="Times New Roman"/>
          <w:b/>
        </w:rPr>
      </w:pPr>
    </w:p>
    <w:p w14:paraId="164D6DC9" w14:textId="77777777" w:rsidR="006E27EB" w:rsidRDefault="006E27EB">
      <w:pPr>
        <w:rPr>
          <w:rFonts w:ascii="Monaco" w:hAnsi="Monaco" w:cs="Times New Roman"/>
          <w:b/>
        </w:rPr>
      </w:pPr>
    </w:p>
    <w:p w14:paraId="33796F65" w14:textId="77777777" w:rsidR="006E27EB" w:rsidRDefault="006E27EB">
      <w:pPr>
        <w:rPr>
          <w:rFonts w:ascii="Monaco" w:hAnsi="Monaco" w:cs="Times New Roman"/>
          <w:b/>
        </w:rPr>
      </w:pPr>
    </w:p>
    <w:p w14:paraId="58164B7F" w14:textId="77777777" w:rsidR="006E7C1B" w:rsidRDefault="006E7C1B">
      <w:pPr>
        <w:rPr>
          <w:rFonts w:ascii="Monaco" w:hAnsi="Monaco" w:cs="Times New Roman"/>
          <w:b/>
        </w:rPr>
      </w:pPr>
    </w:p>
    <w:p w14:paraId="10D2417B" w14:textId="77777777" w:rsidR="005F49F1" w:rsidRDefault="005F49F1">
      <w:pPr>
        <w:rPr>
          <w:rFonts w:ascii="Monaco" w:hAnsi="Monaco" w:cs="Times New Roman"/>
          <w:b/>
        </w:rPr>
      </w:pPr>
    </w:p>
    <w:p w14:paraId="6D26CC58" w14:textId="77777777" w:rsidR="005F49F1" w:rsidRDefault="005F49F1">
      <w:pPr>
        <w:rPr>
          <w:rFonts w:ascii="Monaco" w:hAnsi="Monaco" w:cs="Times New Roman"/>
          <w:b/>
        </w:rPr>
      </w:pPr>
    </w:p>
    <w:p w14:paraId="2464EC84" w14:textId="4ED242BE" w:rsidR="00951674" w:rsidRDefault="00951674">
      <w:pPr>
        <w:rPr>
          <w:rFonts w:ascii="Monaco" w:hAnsi="Monaco" w:cs="Times New Roman"/>
          <w:b/>
          <w:u w:val="single"/>
        </w:rPr>
      </w:pPr>
      <w:r w:rsidRPr="006E7C1B">
        <w:rPr>
          <w:rFonts w:ascii="Monaco" w:hAnsi="Monaco" w:cs="Times New Roman"/>
          <w:b/>
          <w:u w:val="single"/>
        </w:rPr>
        <w:t>TABLE 1</w:t>
      </w:r>
    </w:p>
    <w:p w14:paraId="17D67ECB" w14:textId="77777777" w:rsidR="006E7C1B" w:rsidRPr="006E7C1B" w:rsidRDefault="006E7C1B">
      <w:pPr>
        <w:rPr>
          <w:rFonts w:ascii="Monaco" w:hAnsi="Monaco" w:cs="Times New Roman"/>
          <w:b/>
          <w:u w:val="single"/>
        </w:rPr>
      </w:pPr>
    </w:p>
    <w:tbl>
      <w:tblPr>
        <w:tblW w:w="6780" w:type="dxa"/>
        <w:tblInd w:w="93" w:type="dxa"/>
        <w:tblLook w:val="04A0" w:firstRow="1" w:lastRow="0" w:firstColumn="1" w:lastColumn="0" w:noHBand="0" w:noVBand="1"/>
      </w:tblPr>
      <w:tblGrid>
        <w:gridCol w:w="2214"/>
        <w:gridCol w:w="1000"/>
        <w:gridCol w:w="280"/>
        <w:gridCol w:w="2175"/>
        <w:gridCol w:w="1300"/>
      </w:tblGrid>
      <w:tr w:rsidR="00951674" w:rsidRPr="00951674" w14:paraId="16E15D7F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621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0BF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AICC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9CA9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AD0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B0C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AICC</w:t>
            </w:r>
          </w:p>
        </w:tc>
      </w:tr>
      <w:tr w:rsidR="00951674" w:rsidRPr="00951674" w14:paraId="7C9D6670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822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70F9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-4675.46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EEC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23FA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FAB3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-4675.699</w:t>
            </w:r>
          </w:p>
        </w:tc>
      </w:tr>
      <w:tr w:rsidR="00951674" w:rsidRPr="00951674" w14:paraId="63321992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C67B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36D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-4673.609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03D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F1A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3D0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-4674.007</w:t>
            </w:r>
          </w:p>
        </w:tc>
      </w:tr>
      <w:tr w:rsidR="00951674" w:rsidRPr="00951674" w14:paraId="01263DD4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E2B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3BF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-4674.117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B41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B5E4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B602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-4672.035</w:t>
            </w:r>
          </w:p>
        </w:tc>
      </w:tr>
      <w:tr w:rsidR="00951674" w:rsidRPr="00951674" w14:paraId="496DDEAF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8BFD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59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-4672.306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B3AF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24FB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ARIMA(1,1,0)(constant=TRUE)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73F2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-4674.823</w:t>
            </w:r>
          </w:p>
        </w:tc>
      </w:tr>
      <w:tr w:rsidR="00951674" w:rsidRPr="00951674" w14:paraId="541F6295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BC4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244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-4670.419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1AF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926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ARIMA(1,1,1)(constant=TRUE)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4C43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-4673.604</w:t>
            </w:r>
          </w:p>
        </w:tc>
      </w:tr>
      <w:tr w:rsidR="00951674" w:rsidRPr="00951674" w14:paraId="51ED6FBA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C97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C42F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-4673.594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EC6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278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2B8B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-4673.913</w:t>
            </w:r>
          </w:p>
        </w:tc>
      </w:tr>
      <w:tr w:rsidR="00951674" w:rsidRPr="00951674" w14:paraId="5DCAEC3E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12B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5EF3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-4672.374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8F2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D2C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3A4A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-4671.986</w:t>
            </w:r>
          </w:p>
        </w:tc>
      </w:tr>
      <w:tr w:rsidR="00951674" w:rsidRPr="00951674" w14:paraId="60A86DF9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EBAD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2DEE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-4672.227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D46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9409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EE58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-4670.013</w:t>
            </w:r>
          </w:p>
        </w:tc>
      </w:tr>
      <w:tr w:rsidR="00951674" w:rsidRPr="00951674" w14:paraId="7317DAFC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8A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476D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-4670.287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E26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B5DF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ARIMA(2,1,0)(constant=TRUE)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236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-4675.778</w:t>
            </w:r>
          </w:p>
        </w:tc>
      </w:tr>
      <w:tr w:rsidR="00951674" w:rsidRPr="00951674" w14:paraId="2BD3E217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EFD4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ARIMA(1,1,4)(constant=FALSE)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82A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-4668.402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935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2834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ARIMA(2,1,1)(constant=TRUE)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245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-4673.972</w:t>
            </w:r>
          </w:p>
        </w:tc>
      </w:tr>
      <w:tr w:rsidR="00951674" w:rsidRPr="00951674" w14:paraId="0CB2E65D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66F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1C8B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-4674.209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D709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6C9B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4536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-4673.463</w:t>
            </w:r>
          </w:p>
        </w:tc>
      </w:tr>
      <w:tr w:rsidR="00951674" w:rsidRPr="00951674" w14:paraId="12B0DBC1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24A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BEBE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-4672.312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3DA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E7D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256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-4672.629</w:t>
            </w:r>
          </w:p>
        </w:tc>
      </w:tr>
      <w:tr w:rsidR="00951674" w:rsidRPr="00951674" w14:paraId="5BF05DBB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2DD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69D2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-4674.613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798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FA8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AF49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-4673.741</w:t>
            </w:r>
          </w:p>
        </w:tc>
      </w:tr>
      <w:tr w:rsidR="00951674" w:rsidRPr="00951674" w14:paraId="2A5AA714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C37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D79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-4672.587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7F69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BFA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ARIMA(3,1,0)(constant=TRUE)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41B6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-4674.071</w:t>
            </w:r>
          </w:p>
        </w:tc>
      </w:tr>
      <w:tr w:rsidR="00951674" w:rsidRPr="00951674" w14:paraId="0F20AF47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7A7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ARIMA(2,1,4)(constant=FALSE)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022B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-4667.371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D94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5DD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ARIMA(3,1,1)(constant=TRUE)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E908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-4672.052</w:t>
            </w:r>
          </w:p>
        </w:tc>
      </w:tr>
      <w:tr w:rsidR="00951674" w:rsidRPr="00951674" w14:paraId="534438B1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E25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7872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-4672.39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95A4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818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06C9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-4672.752</w:t>
            </w:r>
          </w:p>
        </w:tc>
      </w:tr>
      <w:tr w:rsidR="00951674" w:rsidRPr="00951674" w14:paraId="1DF088B2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B8D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ED96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-4670.375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6E3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A600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1C4E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-4671.039</w:t>
            </w:r>
          </w:p>
        </w:tc>
      </w:tr>
      <w:tr w:rsidR="00951674" w:rsidRPr="00951674" w14:paraId="4A6BEB09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DC8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D293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-4674.05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3FB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77E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32C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-4669.135</w:t>
            </w:r>
          </w:p>
        </w:tc>
      </w:tr>
      <w:tr w:rsidR="00951674" w:rsidRPr="00951674" w14:paraId="77E4668C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A3F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2F1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-4669.173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62D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867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ARIMA(4,1,0)(constant=TRUE)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F541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-4672.166</w:t>
            </w:r>
          </w:p>
        </w:tc>
      </w:tr>
      <w:tr w:rsidR="00951674" w:rsidRPr="00951674" w14:paraId="0D4C44B5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01F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ARIMA(3,1,4)(constant=FALSE)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68C5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-4668.003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2ED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25A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ARIMA(4,1,1)(constant=TRUE)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38B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-4670.141</w:t>
            </w:r>
          </w:p>
        </w:tc>
      </w:tr>
      <w:tr w:rsidR="00951674" w:rsidRPr="00951674" w14:paraId="14FFA882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9C3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ARIMA(4,1,0)(constant=FALSE)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8FE4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-4670.592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1A95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B08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ARIMA(4,1,2)(constant=TRUE)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0230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-4674.023</w:t>
            </w:r>
          </w:p>
        </w:tc>
      </w:tr>
      <w:tr w:rsidR="00951674" w:rsidRPr="00951674" w14:paraId="7BD9C0DD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382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ARIMA(4,1,1)(constant=FALSE)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069B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-4668.569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402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E0F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ARIMA(4,1,3)(constant=TRUE)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5FAA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-4669.169</w:t>
            </w:r>
          </w:p>
        </w:tc>
      </w:tr>
      <w:tr w:rsidR="00951674" w:rsidRPr="00951674" w14:paraId="41BCF099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E2C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ARIMA(4,1,2)(constant=FALSE)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0BB7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-4670.169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19DD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F77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ARIMA(4,1,4)(constant=TRUE)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9BAD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-4670.976</w:t>
            </w:r>
          </w:p>
        </w:tc>
      </w:tr>
      <w:tr w:rsidR="00951674" w:rsidRPr="00951674" w14:paraId="2E8003DE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F2A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ARIMA(4,1,3)(constant=FALSE)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C42E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-4667.985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13A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63CF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CA2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1674" w:rsidRPr="00951674" w14:paraId="7691F3F4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381D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ARIMA(4,1,4)(constant=FALSE)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698F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-4669.765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4F3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F482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E5E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1674" w:rsidRPr="00951674" w14:paraId="1216C5DC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C436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ARIMA(0,1,0)(constant=TRUE)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2D18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  <w:t>-4676.754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FDFC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8797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5391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1674" w:rsidRPr="00951674" w14:paraId="5D2D0D52" w14:textId="77777777" w:rsidTr="00951674">
        <w:trPr>
          <w:trHeight w:val="30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36C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ARIMA(0,1,1)(constant=TRUE)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506D" w14:textId="77777777" w:rsidR="00951674" w:rsidRPr="00951674" w:rsidRDefault="00951674" w:rsidP="0095167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95167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-4674.831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4128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9A63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8F5F" w14:textId="77777777" w:rsidR="00951674" w:rsidRPr="00951674" w:rsidRDefault="00951674" w:rsidP="0095167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05607CD" w14:textId="77777777" w:rsidR="00951674" w:rsidRDefault="00951674">
      <w:pPr>
        <w:rPr>
          <w:rFonts w:ascii="Times New Roman" w:hAnsi="Times New Roman" w:cs="Times New Roman"/>
        </w:rPr>
      </w:pPr>
    </w:p>
    <w:p w14:paraId="4682D1B4" w14:textId="77777777" w:rsidR="006E7C1B" w:rsidRDefault="006E7C1B" w:rsidP="00F9016C">
      <w:pPr>
        <w:rPr>
          <w:rFonts w:ascii="Monaco" w:hAnsi="Monaco" w:cs="Times New Roman"/>
          <w:sz w:val="20"/>
          <w:szCs w:val="20"/>
        </w:rPr>
      </w:pPr>
    </w:p>
    <w:p w14:paraId="6161B5F8" w14:textId="10A0C2E6" w:rsidR="005F49F1" w:rsidRDefault="005F49F1" w:rsidP="005F49F1">
      <w:pPr>
        <w:rPr>
          <w:rFonts w:ascii="Monaco" w:hAnsi="Monaco" w:cs="Times New Roman"/>
          <w:b/>
          <w:u w:val="single"/>
        </w:rPr>
      </w:pPr>
      <w:r>
        <w:rPr>
          <w:rFonts w:ascii="Monaco" w:hAnsi="Monaco" w:cs="Times New Roman"/>
          <w:b/>
          <w:u w:val="single"/>
        </w:rPr>
        <w:t>TABLE 2</w:t>
      </w:r>
    </w:p>
    <w:p w14:paraId="31DE5529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3A03CFEF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Series: log.tsla </w:t>
      </w:r>
    </w:p>
    <w:p w14:paraId="3F4CC59D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ARIMA(0,1,0) with drift         </w:t>
      </w:r>
    </w:p>
    <w:p w14:paraId="7F45DDF1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36605273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Coefficients:</w:t>
      </w:r>
    </w:p>
    <w:p w14:paraId="2847CED6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   drift</w:t>
      </w:r>
    </w:p>
    <w:p w14:paraId="65D69F0A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  0.0018</w:t>
      </w:r>
    </w:p>
    <w:p w14:paraId="75A01E6B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s.e.  0.0010</w:t>
      </w:r>
    </w:p>
    <w:p w14:paraId="1ABBDC45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33FDFE09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sigma^2 estimated as 0.001256:  log likelihood=2338.46</w:t>
      </w:r>
    </w:p>
    <w:p w14:paraId="3975D817" w14:textId="3207773D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AIC=-4672.92   AICc=-4672.91   BIC=-4662.71</w:t>
      </w:r>
    </w:p>
    <w:p w14:paraId="78EFCE28" w14:textId="54F1B168" w:rsidR="005F49F1" w:rsidRDefault="005F49F1" w:rsidP="00F9016C">
      <w:pPr>
        <w:rPr>
          <w:rFonts w:ascii="Monaco" w:hAnsi="Monaco" w:cs="Times New Roman"/>
          <w:b/>
          <w:u w:val="single"/>
        </w:rPr>
      </w:pPr>
      <w:r>
        <w:rPr>
          <w:rFonts w:ascii="Monaco" w:hAnsi="Monaco" w:cs="Times New Roman"/>
          <w:b/>
          <w:u w:val="single"/>
        </w:rPr>
        <w:t>TABLE 3</w:t>
      </w:r>
    </w:p>
    <w:p w14:paraId="577F97DC" w14:textId="77777777" w:rsidR="005F49F1" w:rsidRDefault="005F49F1" w:rsidP="00F9016C">
      <w:pPr>
        <w:rPr>
          <w:rFonts w:ascii="Monaco" w:hAnsi="Monaco" w:cs="Times New Roman"/>
          <w:b/>
          <w:u w:val="single"/>
        </w:rPr>
      </w:pPr>
    </w:p>
    <w:p w14:paraId="12F8F7C7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 Point Forecast    Lo 95    Hi 95</w:t>
      </w:r>
    </w:p>
    <w:p w14:paraId="572FBE7E" w14:textId="74464DBA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1220       5.422513 5.353059 5.491966</w:t>
      </w:r>
    </w:p>
    <w:p w14:paraId="22C4D2A3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73D185A9" w14:textId="2B90CE28" w:rsidR="005F49F1" w:rsidRPr="005F49F1" w:rsidRDefault="005F49F1" w:rsidP="00F9016C">
      <w:pPr>
        <w:rPr>
          <w:rFonts w:ascii="Monaco" w:hAnsi="Monaco" w:cs="Times New Roman"/>
          <w:b/>
          <w:u w:val="single"/>
        </w:rPr>
      </w:pPr>
      <w:r>
        <w:rPr>
          <w:rFonts w:ascii="Monaco" w:hAnsi="Monaco" w:cs="Times New Roman"/>
          <w:b/>
          <w:u w:val="single"/>
        </w:rPr>
        <w:t>TABLE 4</w:t>
      </w:r>
    </w:p>
    <w:p w14:paraId="4801AB6A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tbl>
      <w:tblPr>
        <w:tblW w:w="3560" w:type="dxa"/>
        <w:tblInd w:w="93" w:type="dxa"/>
        <w:tblLook w:val="04A0" w:firstRow="1" w:lastRow="0" w:firstColumn="1" w:lastColumn="0" w:noHBand="0" w:noVBand="1"/>
      </w:tblPr>
      <w:tblGrid>
        <w:gridCol w:w="560"/>
        <w:gridCol w:w="222"/>
        <w:gridCol w:w="1300"/>
        <w:gridCol w:w="222"/>
        <w:gridCol w:w="1300"/>
      </w:tblGrid>
      <w:tr w:rsidR="005F49F1" w:rsidRPr="005F49F1" w14:paraId="6D552114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7C80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q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2A5E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3941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loglik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5C0A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B4FD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aicc</w:t>
            </w:r>
          </w:p>
        </w:tc>
      </w:tr>
      <w:tr w:rsidR="005F49F1" w:rsidRPr="005F49F1" w14:paraId="6FE643D1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EDEE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B26F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0040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2342.8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6C5F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392D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-4683.6</w:t>
            </w:r>
          </w:p>
        </w:tc>
      </w:tr>
      <w:tr w:rsidR="005F49F1" w:rsidRPr="005F49F1" w14:paraId="02C2E634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AC46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E34D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F423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2363.0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C386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B93B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-4722.0</w:t>
            </w:r>
          </w:p>
        </w:tc>
      </w:tr>
      <w:tr w:rsidR="005F49F1" w:rsidRPr="005F49F1" w14:paraId="6D1FA673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FD3C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9DF3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31C2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2372.7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BCCD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D40C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-4739.5</w:t>
            </w:r>
          </w:p>
        </w:tc>
      </w:tr>
      <w:tr w:rsidR="005F49F1" w:rsidRPr="005F49F1" w14:paraId="17F1DFB5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7EAA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2762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BC89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2374.0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96C1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52CB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-4739.9</w:t>
            </w:r>
          </w:p>
        </w:tc>
      </w:tr>
      <w:tr w:rsidR="005F49F1" w:rsidRPr="005F49F1" w14:paraId="1742CB33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F1CE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3784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87F7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2378.2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CD5F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89A8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-4746.3</w:t>
            </w:r>
          </w:p>
        </w:tc>
      </w:tr>
      <w:tr w:rsidR="005F49F1" w:rsidRPr="005F49F1" w14:paraId="7064C985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1CD8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88F2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9D21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2378.2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E683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FC2B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-4744.3</w:t>
            </w:r>
          </w:p>
        </w:tc>
      </w:tr>
      <w:tr w:rsidR="005F49F1" w:rsidRPr="005F49F1" w14:paraId="7C8329D1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F397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E6DB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5B32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2375.6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358D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3864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-4737.1</w:t>
            </w:r>
          </w:p>
        </w:tc>
      </w:tr>
      <w:tr w:rsidR="005F49F1" w:rsidRPr="005F49F1" w14:paraId="47C8F17C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40CB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8DFA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8EAF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2375.7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8166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1E3D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-4735.3</w:t>
            </w:r>
          </w:p>
        </w:tc>
      </w:tr>
      <w:tr w:rsidR="005F49F1" w:rsidRPr="005F49F1" w14:paraId="24BF243A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0E66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0532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1419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2375.7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F81F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8C9C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-4733.2</w:t>
            </w:r>
          </w:p>
        </w:tc>
      </w:tr>
      <w:tr w:rsidR="005F49F1" w:rsidRPr="005F49F1" w14:paraId="04F17133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7998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A2B8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5943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2373.3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5940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B409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-4726.3</w:t>
            </w:r>
          </w:p>
        </w:tc>
      </w:tr>
      <w:tr w:rsidR="005F49F1" w:rsidRPr="005F49F1" w14:paraId="7CB9BBD2" w14:textId="77777777" w:rsidTr="005F49F1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6048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10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912E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888D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2377.1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3FD8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2B45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-4732.0</w:t>
            </w:r>
          </w:p>
        </w:tc>
      </w:tr>
    </w:tbl>
    <w:p w14:paraId="13D821CC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659550D2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2C4A8499" w14:textId="745F836A" w:rsidR="005F49F1" w:rsidRPr="005F49F1" w:rsidRDefault="005F49F1" w:rsidP="00F9016C">
      <w:pPr>
        <w:rPr>
          <w:rFonts w:ascii="Monaco" w:hAnsi="Monaco" w:cs="Times New Roman"/>
          <w:b/>
          <w:u w:val="single"/>
        </w:rPr>
      </w:pPr>
      <w:r>
        <w:rPr>
          <w:rFonts w:ascii="Monaco" w:hAnsi="Monaco" w:cs="Times New Roman"/>
          <w:b/>
          <w:u w:val="single"/>
        </w:rPr>
        <w:t>TABLE 5</w:t>
      </w:r>
    </w:p>
    <w:p w14:paraId="41CDA22C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tbl>
      <w:tblPr>
        <w:tblW w:w="2800" w:type="dxa"/>
        <w:tblInd w:w="93" w:type="dxa"/>
        <w:tblLook w:val="04A0" w:firstRow="1" w:lastRow="0" w:firstColumn="1" w:lastColumn="0" w:noHBand="0" w:noVBand="1"/>
      </w:tblPr>
      <w:tblGrid>
        <w:gridCol w:w="1300"/>
        <w:gridCol w:w="222"/>
        <w:gridCol w:w="1300"/>
      </w:tblGrid>
      <w:tr w:rsidR="005F49F1" w:rsidRPr="005F49F1" w14:paraId="7B7B6867" w14:textId="77777777" w:rsidTr="005F49F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156D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loglik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B132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804A" w14:textId="77777777" w:rsidR="005F49F1" w:rsidRPr="005F49F1" w:rsidRDefault="005F49F1" w:rsidP="005F49F1">
            <w:pPr>
              <w:jc w:val="center"/>
              <w:rPr>
                <w:rFonts w:ascii="Monaco" w:eastAsia="Times New Roman" w:hAnsi="Monaco" w:cs="Times New Roman"/>
                <w:b/>
                <w:bCs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b/>
                <w:bCs/>
                <w:color w:val="000000"/>
              </w:rPr>
              <w:t>aicc</w:t>
            </w:r>
          </w:p>
        </w:tc>
      </w:tr>
      <w:tr w:rsidR="005F49F1" w:rsidRPr="005F49F1" w14:paraId="749ECCAA" w14:textId="77777777" w:rsidTr="005F49F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293C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2374.0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B957" w14:textId="77777777" w:rsidR="005F49F1" w:rsidRPr="005F49F1" w:rsidRDefault="005F49F1" w:rsidP="005F49F1">
            <w:pPr>
              <w:rPr>
                <w:rFonts w:ascii="Monaco" w:eastAsia="Times New Roman" w:hAnsi="Monaco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1093" w14:textId="77777777" w:rsidR="005F49F1" w:rsidRPr="005F49F1" w:rsidRDefault="005F49F1" w:rsidP="005F49F1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5F49F1">
              <w:rPr>
                <w:rFonts w:ascii="Monaco" w:eastAsia="Times New Roman" w:hAnsi="Monaco" w:cs="Times New Roman"/>
                <w:color w:val="000000"/>
              </w:rPr>
              <w:t>-4744.0</w:t>
            </w:r>
          </w:p>
        </w:tc>
      </w:tr>
    </w:tbl>
    <w:p w14:paraId="6F043E2D" w14:textId="77777777" w:rsidR="005F49F1" w:rsidRDefault="005F49F1" w:rsidP="00F9016C">
      <w:pPr>
        <w:rPr>
          <w:rFonts w:ascii="Monaco" w:hAnsi="Monaco" w:cs="Times New Roman"/>
          <w:b/>
          <w:sz w:val="20"/>
          <w:szCs w:val="20"/>
        </w:rPr>
      </w:pPr>
    </w:p>
    <w:p w14:paraId="35C2DEAF" w14:textId="0FE5B286" w:rsidR="005F49F1" w:rsidRPr="005F49F1" w:rsidRDefault="005F49F1" w:rsidP="00F9016C">
      <w:pPr>
        <w:rPr>
          <w:rFonts w:ascii="Monaco" w:hAnsi="Monaco" w:cs="Times New Roman"/>
          <w:b/>
          <w:u w:val="single"/>
        </w:rPr>
      </w:pPr>
      <w:r w:rsidRPr="005F49F1">
        <w:rPr>
          <w:rFonts w:ascii="Monaco" w:hAnsi="Monaco" w:cs="Times New Roman"/>
          <w:b/>
          <w:u w:val="single"/>
        </w:rPr>
        <w:t>Table 6</w:t>
      </w:r>
    </w:p>
    <w:p w14:paraId="52021A96" w14:textId="77777777" w:rsidR="005F49F1" w:rsidRDefault="005F49F1" w:rsidP="00F9016C">
      <w:pPr>
        <w:rPr>
          <w:rFonts w:ascii="Monaco" w:hAnsi="Monaco" w:cs="Times New Roman"/>
          <w:sz w:val="20"/>
          <w:szCs w:val="20"/>
        </w:rPr>
      </w:pPr>
    </w:p>
    <w:p w14:paraId="16C6D0B4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Call:</w:t>
      </w:r>
    </w:p>
    <w:p w14:paraId="6441494D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garch(x = resid, order = c(0, 5), trace = FALSE)</w:t>
      </w:r>
    </w:p>
    <w:p w14:paraId="37A60CDA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7847E707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Model:</w:t>
      </w:r>
    </w:p>
    <w:p w14:paraId="7976DD98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GARCH(0,5)</w:t>
      </w:r>
    </w:p>
    <w:p w14:paraId="601FF957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45AD78D0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Residuals:</w:t>
      </w:r>
    </w:p>
    <w:p w14:paraId="2B00A738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 Min       1Q   Median       3Q      Max </w:t>
      </w:r>
    </w:p>
    <w:p w14:paraId="531BD926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-6.92825 -0.52208 -0.02419  0.52289  5.43753 </w:t>
      </w:r>
    </w:p>
    <w:p w14:paraId="6E665D6B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681AD12C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Coefficient(s):</w:t>
      </w:r>
    </w:p>
    <w:p w14:paraId="67D77633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    Estimate  Std. Error  t value Pr(&gt;|t|)    </w:t>
      </w:r>
    </w:p>
    <w:p w14:paraId="4FDE6DF9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a0 9.413e-04   3.012e-05   31.247  &lt; 2e-16 ***</w:t>
      </w:r>
    </w:p>
    <w:p w14:paraId="232DD56E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a1 6.543e-02   1.609e-02    4.067 4.75e-05 ***</w:t>
      </w:r>
    </w:p>
    <w:p w14:paraId="3061ACFC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a2 6.360e-02   1.830e-02    3.476 0.000509 ***</w:t>
      </w:r>
    </w:p>
    <w:p w14:paraId="2E361916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a3 4.403e-02   1.596e-02    2.758 0.005814 ** </w:t>
      </w:r>
    </w:p>
    <w:p w14:paraId="6C6D3D27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a4 3.639e-02   1.039e-02    3.504 0.000458 ***</w:t>
      </w:r>
    </w:p>
    <w:p w14:paraId="35CFEB0B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 xml:space="preserve">a5 2.537e-14   1.898e-02    0.000 1.000000    </w:t>
      </w:r>
    </w:p>
    <w:p w14:paraId="0478D1CD" w14:textId="77777777" w:rsidR="005F49F1" w:rsidRDefault="005F49F1" w:rsidP="005F49F1">
      <w:pPr>
        <w:rPr>
          <w:rFonts w:ascii="Monaco" w:hAnsi="Monaco" w:cs="Times New Roman"/>
          <w:sz w:val="20"/>
          <w:szCs w:val="20"/>
        </w:rPr>
      </w:pPr>
      <w:r w:rsidRPr="005F49F1">
        <w:rPr>
          <w:rFonts w:ascii="Monaco" w:hAnsi="Monaco" w:cs="Times New Roman"/>
          <w:sz w:val="20"/>
          <w:szCs w:val="20"/>
        </w:rPr>
        <w:t>---</w:t>
      </w:r>
    </w:p>
    <w:p w14:paraId="7745C5B0" w14:textId="77777777" w:rsid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56FA32A1" w14:textId="77777777" w:rsidR="00BD72F7" w:rsidRDefault="00BD72F7" w:rsidP="005F49F1">
      <w:pPr>
        <w:rPr>
          <w:rFonts w:ascii="Monaco" w:hAnsi="Monaco" w:cs="Times New Roman"/>
          <w:sz w:val="20"/>
          <w:szCs w:val="20"/>
        </w:rPr>
      </w:pPr>
    </w:p>
    <w:p w14:paraId="20C31693" w14:textId="77777777" w:rsidR="005F49F1" w:rsidRPr="005F49F1" w:rsidRDefault="005F49F1" w:rsidP="005F49F1">
      <w:pPr>
        <w:rPr>
          <w:rFonts w:ascii="Monaco" w:hAnsi="Monaco" w:cs="Times New Roman"/>
          <w:sz w:val="20"/>
          <w:szCs w:val="20"/>
        </w:rPr>
      </w:pPr>
    </w:p>
    <w:p w14:paraId="047EFD44" w14:textId="77777777" w:rsidR="005F49F1" w:rsidRPr="00F9016C" w:rsidRDefault="005F49F1" w:rsidP="00F9016C">
      <w:pPr>
        <w:rPr>
          <w:rFonts w:ascii="Monaco" w:hAnsi="Monaco" w:cs="Times New Roman"/>
          <w:sz w:val="20"/>
          <w:szCs w:val="20"/>
        </w:rPr>
      </w:pPr>
    </w:p>
    <w:sectPr w:rsidR="005F49F1" w:rsidRPr="00F9016C" w:rsidSect="006421F3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776EA" w14:textId="77777777" w:rsidR="00A55F9E" w:rsidRDefault="00A55F9E" w:rsidP="00635A7A">
      <w:r>
        <w:separator/>
      </w:r>
    </w:p>
  </w:endnote>
  <w:endnote w:type="continuationSeparator" w:id="0">
    <w:p w14:paraId="409FE4D8" w14:textId="77777777" w:rsidR="00A55F9E" w:rsidRDefault="00A55F9E" w:rsidP="0063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7619F" w14:textId="77777777" w:rsidR="00A55F9E" w:rsidRDefault="00A55F9E" w:rsidP="00FB13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7CE343" w14:textId="77777777" w:rsidR="00A55F9E" w:rsidRDefault="00A55F9E" w:rsidP="00FB13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AE4EF" w14:textId="77777777" w:rsidR="00A55F9E" w:rsidRPr="00FB1355" w:rsidRDefault="00A55F9E" w:rsidP="00FB1355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FB1355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FB1355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FB1355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131A03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FB1355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0F05AC97" w14:textId="77777777" w:rsidR="00A55F9E" w:rsidRDefault="00A55F9E" w:rsidP="00FB13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7C23F" w14:textId="77777777" w:rsidR="00A55F9E" w:rsidRDefault="00A55F9E" w:rsidP="00635A7A">
      <w:r>
        <w:separator/>
      </w:r>
    </w:p>
  </w:footnote>
  <w:footnote w:type="continuationSeparator" w:id="0">
    <w:p w14:paraId="3BF4902E" w14:textId="77777777" w:rsidR="00A55F9E" w:rsidRDefault="00A55F9E" w:rsidP="00635A7A">
      <w:r>
        <w:continuationSeparator/>
      </w:r>
    </w:p>
  </w:footnote>
  <w:footnote w:id="1">
    <w:p w14:paraId="5F214534" w14:textId="77777777" w:rsidR="00A55F9E" w:rsidRDefault="00A55F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5A7A">
        <w:rPr>
          <w:rFonts w:ascii="Times New Roman" w:hAnsi="Times New Roman" w:cs="Times New Roman"/>
          <w:sz w:val="20"/>
          <w:szCs w:val="20"/>
        </w:rPr>
        <w:t>https://www.google.com/finance/historical?q=NASDAQ%3ATSLA&amp;ei=du9EVdGOKvTisQfXjYDwDw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7A"/>
    <w:rsid w:val="00131A03"/>
    <w:rsid w:val="00184A8D"/>
    <w:rsid w:val="0022120E"/>
    <w:rsid w:val="00231FD4"/>
    <w:rsid w:val="00436167"/>
    <w:rsid w:val="00454002"/>
    <w:rsid w:val="004C11AD"/>
    <w:rsid w:val="005A24CF"/>
    <w:rsid w:val="005F49F1"/>
    <w:rsid w:val="00635A7A"/>
    <w:rsid w:val="006421F3"/>
    <w:rsid w:val="006A4C44"/>
    <w:rsid w:val="006C31BF"/>
    <w:rsid w:val="006E27EB"/>
    <w:rsid w:val="006E7C1B"/>
    <w:rsid w:val="00811589"/>
    <w:rsid w:val="008B4DA9"/>
    <w:rsid w:val="008D6E4B"/>
    <w:rsid w:val="00951674"/>
    <w:rsid w:val="009D0469"/>
    <w:rsid w:val="00A55F9E"/>
    <w:rsid w:val="00AB5F98"/>
    <w:rsid w:val="00AE489A"/>
    <w:rsid w:val="00BD72F7"/>
    <w:rsid w:val="00C6270D"/>
    <w:rsid w:val="00D653E4"/>
    <w:rsid w:val="00EA6C2B"/>
    <w:rsid w:val="00F32518"/>
    <w:rsid w:val="00F9016C"/>
    <w:rsid w:val="00FA38D7"/>
    <w:rsid w:val="00FB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10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35A7A"/>
  </w:style>
  <w:style w:type="character" w:customStyle="1" w:styleId="FootnoteTextChar">
    <w:name w:val="Footnote Text Char"/>
    <w:basedOn w:val="DefaultParagraphFont"/>
    <w:link w:val="FootnoteText"/>
    <w:uiPriority w:val="99"/>
    <w:rsid w:val="00635A7A"/>
  </w:style>
  <w:style w:type="character" w:styleId="FootnoteReference">
    <w:name w:val="footnote reference"/>
    <w:basedOn w:val="DefaultParagraphFont"/>
    <w:uiPriority w:val="99"/>
    <w:unhideWhenUsed/>
    <w:rsid w:val="00635A7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A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7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1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55"/>
  </w:style>
  <w:style w:type="character" w:styleId="PageNumber">
    <w:name w:val="page number"/>
    <w:basedOn w:val="DefaultParagraphFont"/>
    <w:uiPriority w:val="99"/>
    <w:semiHidden/>
    <w:unhideWhenUsed/>
    <w:rsid w:val="00FB1355"/>
  </w:style>
  <w:style w:type="paragraph" w:styleId="Header">
    <w:name w:val="header"/>
    <w:basedOn w:val="Normal"/>
    <w:link w:val="HeaderChar"/>
    <w:uiPriority w:val="99"/>
    <w:unhideWhenUsed/>
    <w:rsid w:val="00FB1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35A7A"/>
  </w:style>
  <w:style w:type="character" w:customStyle="1" w:styleId="FootnoteTextChar">
    <w:name w:val="Footnote Text Char"/>
    <w:basedOn w:val="DefaultParagraphFont"/>
    <w:link w:val="FootnoteText"/>
    <w:uiPriority w:val="99"/>
    <w:rsid w:val="00635A7A"/>
  </w:style>
  <w:style w:type="character" w:styleId="FootnoteReference">
    <w:name w:val="footnote reference"/>
    <w:basedOn w:val="DefaultParagraphFont"/>
    <w:uiPriority w:val="99"/>
    <w:unhideWhenUsed/>
    <w:rsid w:val="00635A7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A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7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1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55"/>
  </w:style>
  <w:style w:type="character" w:styleId="PageNumber">
    <w:name w:val="page number"/>
    <w:basedOn w:val="DefaultParagraphFont"/>
    <w:uiPriority w:val="99"/>
    <w:semiHidden/>
    <w:unhideWhenUsed/>
    <w:rsid w:val="00FB1355"/>
  </w:style>
  <w:style w:type="paragraph" w:styleId="Header">
    <w:name w:val="header"/>
    <w:basedOn w:val="Normal"/>
    <w:link w:val="HeaderChar"/>
    <w:uiPriority w:val="99"/>
    <w:unhideWhenUsed/>
    <w:rsid w:val="00FB1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1074</Words>
  <Characters>6128</Characters>
  <Application>Microsoft Macintosh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 Luna</dc:creator>
  <cp:keywords/>
  <dc:description/>
  <cp:lastModifiedBy>Kenneth  Luna</cp:lastModifiedBy>
  <cp:revision>14</cp:revision>
  <dcterms:created xsi:type="dcterms:W3CDTF">2015-05-04T11:40:00Z</dcterms:created>
  <dcterms:modified xsi:type="dcterms:W3CDTF">2015-05-05T14:16:00Z</dcterms:modified>
</cp:coreProperties>
</file>