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jc w:val="center"/>
      </w:pPr>
      <w:r>
        <w:rPr>
          <w:rFonts w:ascii="Times New Roman" w:hAnsi="Times New Roman"/>
          <w:b w:val="0"/>
          <w:i w:val="0"/>
          <w:sz w:val="24"/>
        </w:rPr>
      </w:r>
    </w:p>
    <w:p>
      <w:pPr>
        <w:spacing w:before="0" w:after="0" w:line="480" w:lineRule="auto"/>
        <w:jc w:val="center"/>
      </w:pPr>
      <w:r>
        <w:rPr>
          <w:rFonts w:ascii="Times New Roman" w:hAnsi="Times New Roman"/>
          <w:b w:val="0"/>
          <w:i w:val="0"/>
          <w:sz w:val="24"/>
        </w:rPr>
      </w:r>
    </w:p>
    <w:p>
      <w:pPr>
        <w:spacing w:before="0" w:after="0" w:line="480" w:lineRule="auto"/>
        <w:jc w:val="center"/>
      </w:pPr>
      <w:r>
        <w:rPr>
          <w:rFonts w:ascii="Times New Roman" w:hAnsi="Times New Roman"/>
          <w:b w:val="0"/>
          <w:i w:val="0"/>
          <w:sz w:val="24"/>
        </w:rPr>
      </w:r>
    </w:p>
    <w:p>
      <w:pPr>
        <w:spacing w:before="0" w:after="0" w:line="480" w:lineRule="auto"/>
        <w:jc w:val="center"/>
      </w:pPr>
      <w:r>
        <w:rPr>
          <w:rFonts w:ascii="Times New Roman" w:hAnsi="Times New Roman"/>
          <w:b w:val="0"/>
          <w:i w:val="0"/>
          <w:sz w:val="24"/>
        </w:rPr>
      </w:r>
    </w:p>
    <w:p>
      <w:pPr>
        <w:spacing w:before="0" w:after="120" w:line="480" w:lineRule="auto"/>
        <w:jc w:val="center"/>
      </w:pPr>
      <w:r>
        <w:rPr>
          <w:rFonts w:ascii="Times New Roman" w:hAnsi="Times New Roman"/>
          <w:b/>
          <w:i w:val="0"/>
          <w:sz w:val="32"/>
        </w:rPr>
        <w:t>Data Analytics Capstone</w:t>
      </w:r>
    </w:p>
    <w:p>
      <w:pPr>
        <w:spacing w:before="0" w:after="120" w:line="480" w:lineRule="auto"/>
        <w:jc w:val="center"/>
      </w:pPr>
      <w:r>
        <w:rPr>
          <w:rFonts w:ascii="Times New Roman" w:hAnsi="Times New Roman"/>
          <w:b/>
          <w:i w:val="0"/>
          <w:sz w:val="28"/>
        </w:rPr>
        <w:t>Parametric Validation of AI-Generated 3D Wheel Meshes</w:t>
        <w:br/>
        <w:t>Using Engineering Constraints</w:t>
      </w:r>
    </w:p>
    <w:p>
      <w:pPr>
        <w:spacing w:before="0" w:after="480" w:line="480" w:lineRule="auto"/>
        <w:jc w:val="center"/>
      </w:pPr>
      <w:r>
        <w:rPr>
          <w:rFonts w:ascii="Times New Roman" w:hAnsi="Times New Roman"/>
          <w:b/>
          <w:i w:val="0"/>
          <w:sz w:val="28"/>
        </w:rPr>
        <w:t>Interim Report</w:t>
      </w:r>
    </w:p>
    <w:p>
      <w:pPr>
        <w:spacing w:before="0" w:after="120" w:line="480" w:lineRule="auto"/>
        <w:jc w:val="center"/>
      </w:pPr>
      <w:r>
        <w:rPr>
          <w:rFonts w:ascii="Times New Roman" w:hAnsi="Times New Roman"/>
          <w:b w:val="0"/>
          <w:i w:val="0"/>
          <w:sz w:val="24"/>
        </w:rPr>
        <w:t>MAHIL KATTILPARAMBATH RAMAKRISHNAN</w:t>
      </w:r>
    </w:p>
    <w:p>
      <w:pPr>
        <w:spacing w:before="0" w:after="120" w:line="480" w:lineRule="auto"/>
        <w:jc w:val="center"/>
      </w:pPr>
      <w:r>
        <w:rPr>
          <w:rFonts w:ascii="Times New Roman" w:hAnsi="Times New Roman"/>
          <w:b w:val="0"/>
          <w:i w:val="0"/>
          <w:sz w:val="24"/>
        </w:rPr>
        <w:t>Walsh College</w:t>
      </w:r>
    </w:p>
    <w:p>
      <w:pPr>
        <w:spacing w:before="0" w:after="120" w:line="480" w:lineRule="auto"/>
        <w:jc w:val="center"/>
      </w:pPr>
      <w:r>
        <w:rPr>
          <w:rFonts w:ascii="Times New Roman" w:hAnsi="Times New Roman"/>
          <w:b w:val="0"/>
          <w:i w:val="0"/>
          <w:sz w:val="24"/>
        </w:rPr>
        <w:t>QM 640: Data Analytics Capstone</w:t>
      </w:r>
    </w:p>
    <w:p>
      <w:pPr>
        <w:spacing w:before="0" w:after="120" w:line="480" w:lineRule="auto"/>
        <w:jc w:val="center"/>
      </w:pPr>
      <w:r>
        <w:rPr>
          <w:rFonts w:ascii="Times New Roman" w:hAnsi="Times New Roman"/>
          <w:b w:val="0"/>
          <w:i w:val="0"/>
          <w:sz w:val="24"/>
        </w:rPr>
        <w:t>MUHAMMED HASSAN SIDDIQUI</w:t>
      </w:r>
    </w:p>
    <w:p>
      <w:pPr>
        <w:spacing w:before="0" w:after="240" w:line="480" w:lineRule="auto"/>
        <w:jc w:val="center"/>
      </w:pPr>
      <w:r>
        <w:rPr>
          <w:rFonts w:ascii="Times New Roman" w:hAnsi="Times New Roman"/>
          <w:b w:val="0"/>
          <w:i w:val="0"/>
          <w:sz w:val="24"/>
        </w:rPr>
        <w:t>Winter 2026 Term</w:t>
      </w:r>
    </w:p>
    <w:p>
      <w:pPr>
        <w:spacing w:before="0" w:after="120" w:line="480" w:lineRule="auto"/>
        <w:jc w:val="center"/>
      </w:pPr>
      <w:r>
        <w:rPr>
          <w:rFonts w:ascii="Times New Roman" w:hAnsi="Times New Roman"/>
          <w:b w:val="0"/>
          <w:i w:val="0"/>
          <w:color w:val="0000EE"/>
          <w:sz w:val="20"/>
        </w:rPr>
        <w:t>GitHub: https://github.com/krmahil/data-analytics-capstone</w:t>
      </w:r>
    </w:p>
    <w:p>
      <w:r>
        <w:br w:type="page"/>
      </w:r>
    </w:p>
    <w:p>
      <w:pPr>
        <w:pStyle w:val="Heading1"/>
        <w:spacing w:before="80" w:after="40"/>
      </w:pPr>
      <w:r>
        <w:rPr>
          <w:rFonts w:ascii="Times New Roman" w:hAnsi="Times New Roman"/>
          <w:color w:val="000000"/>
          <w:sz w:val="28"/>
        </w:rPr>
        <w:t>1. Introduction, Scope and Objectives</w:t>
      </w:r>
    </w:p>
    <w:p>
      <w:pPr>
        <w:pStyle w:val="Heading2"/>
        <w:spacing w:before="40" w:after="40"/>
      </w:pPr>
      <w:r>
        <w:rPr>
          <w:rFonts w:ascii="Times New Roman" w:hAnsi="Times New Roman"/>
          <w:color w:val="000000"/>
          <w:sz w:val="26"/>
        </w:rPr>
        <w:t>Introduction</w:t>
      </w:r>
    </w:p>
    <w:p>
      <w:pPr>
        <w:spacing w:before="0" w:after="0" w:line="480" w:lineRule="auto"/>
        <w:ind w:firstLine="720"/>
        <w:jc w:val="both"/>
      </w:pPr>
      <w:r>
        <w:rPr>
          <w:rFonts w:ascii="Times New Roman" w:hAnsi="Times New Roman"/>
          <w:b w:val="0"/>
          <w:i w:val="0"/>
          <w:sz w:val="24"/>
        </w:rPr>
        <w:t>The automotive industry is undergoing a fundamental transformation driven by the integration of generative Artificial Intelligence (AI) into Computer-Aided Design (CAD) workflows. According to recent industry analyses, AI-powered design tools have demonstrated the capability to reduce design iteration time by up to 60% while simultaneously expanding the exploration of feasible design spaces (McKinsey, 2024). However, this acceleration introduces a critical challenge: AI-generated three-dimensional meshes frequently violate engineering constraints that govern manufacturability, structural integrity, and regulatory compliance.</w:t>
      </w:r>
    </w:p>
    <w:p>
      <w:pPr>
        <w:spacing w:before="0" w:after="0" w:line="480" w:lineRule="auto"/>
        <w:ind w:firstLine="720"/>
        <w:jc w:val="both"/>
      </w:pPr>
      <w:r>
        <w:rPr>
          <w:rFonts w:ascii="Times New Roman" w:hAnsi="Times New Roman"/>
          <w:b w:val="0"/>
          <w:i w:val="0"/>
          <w:sz w:val="24"/>
        </w:rPr>
        <w:t>The emergence of sophisticated generative models, including Stable Diffusion-based image synthesis and Neural Radiance Field (NeRF) reconstruction pipelines, has enabled rapid generation of visually compelling wheel designs. The DeepWheel framework, introduced by Yoo and Kang (2025), represents a pioneering effort to create synthetic wheel datasets by combining generative image models with 2.5D depth estimation and Finite Element Analysis (FEA) structural simulation. Their methodology produces over 6,000 photo-realistic wheel images and 900 structurally analyzed three-dimensional models, providing an unprecedented resource for design-performance research.</w:t>
      </w:r>
    </w:p>
    <w:p>
      <w:pPr>
        <w:spacing w:before="0" w:after="0" w:line="480" w:lineRule="auto"/>
        <w:ind w:firstLine="720"/>
        <w:jc w:val="both"/>
      </w:pPr>
      <w:r>
        <w:rPr>
          <w:rFonts w:ascii="Times New Roman" w:hAnsi="Times New Roman"/>
          <w:b w:val="0"/>
          <w:i w:val="0"/>
          <w:sz w:val="24"/>
        </w:rPr>
        <w:t>Despite these advances, a significant research gap exists in the systematic validation of AI-generated wheel geometries against quantifiable engineering constraints. Current quality assessment approaches rely heavily on manual expert review, which is not scalable (Li &amp; Wang, 2023). This capstone project does not involve building or training generative AI models. The research contribution lies in developing a parametric validation and analytics framework that: (1) quantifies the failure rate of AI-generated wheels against engineering constraints, (2) identifies parametric features predictive of validation outcomes, (3) develops Machine Learning (ML) classification models for automated pass/fail prediction, and (4) characterizes design patterns distinguishing valid from invalid wheel geometries.</w:t>
      </w:r>
    </w:p>
    <w:p>
      <w:pPr>
        <w:pStyle w:val="Heading2"/>
        <w:spacing w:before="40" w:after="40"/>
      </w:pPr>
      <w:r>
        <w:rPr>
          <w:rFonts w:ascii="Times New Roman" w:hAnsi="Times New Roman"/>
          <w:color w:val="000000"/>
          <w:sz w:val="26"/>
        </w:rPr>
        <w:t>Scope and Objectives</w:t>
      </w:r>
    </w:p>
    <w:p>
      <w:pPr>
        <w:spacing w:before="0" w:after="0" w:line="480" w:lineRule="auto"/>
        <w:ind w:firstLine="720"/>
        <w:jc w:val="both"/>
      </w:pPr>
      <w:r>
        <w:rPr>
          <w:rFonts w:ascii="Times New Roman" w:hAnsi="Times New Roman"/>
          <w:b/>
          <w:i w:val="0"/>
          <w:sz w:val="24"/>
        </w:rPr>
        <w:t xml:space="preserve">Problem Statement: </w:t>
      </w:r>
      <w:r>
        <w:rPr>
          <w:rFonts w:ascii="Times New Roman" w:hAnsi="Times New Roman"/>
          <w:b w:val="0"/>
          <w:i w:val="0"/>
          <w:sz w:val="24"/>
        </w:rPr>
        <w:t xml:space="preserve">AI-generated three-dimensional wheel meshes exhibit variable compliance with established engineering constraints, yet no standardized parametric validation framework exists to systematically assess their structural adequacy. The fundamental research question is: </w:t>
      </w:r>
      <w:r>
        <w:rPr>
          <w:rFonts w:ascii="Times New Roman" w:hAnsi="Times New Roman"/>
          <w:b/>
          <w:i w:val="0"/>
          <w:sz w:val="24"/>
        </w:rPr>
        <w:t>Can parametric metadata extracted from AI-generated wheel meshes reliably predict engineering validation outcomes without requiring full structural simulation?</w:t>
      </w:r>
    </w:p>
    <w:p>
      <w:pPr>
        <w:spacing w:before="0" w:after="0" w:line="480" w:lineRule="auto"/>
        <w:ind w:firstLine="720"/>
        <w:jc w:val="both"/>
      </w:pPr>
      <w:r>
        <w:rPr>
          <w:rFonts w:ascii="Times New Roman" w:hAnsi="Times New Roman"/>
          <w:b/>
          <w:i w:val="0"/>
          <w:sz w:val="24"/>
        </w:rPr>
        <w:t xml:space="preserve">Dataset Scope: </w:t>
      </w:r>
      <w:r>
        <w:rPr>
          <w:rFonts w:ascii="Times New Roman" w:hAnsi="Times New Roman"/>
          <w:b w:val="0"/>
          <w:i w:val="0"/>
          <w:sz w:val="24"/>
        </w:rPr>
        <w:t xml:space="preserve">This study utilizes the DeepWheel dataset (Yoo &amp; Kang, 2025), comprising 904 wheel designs with complete structural simulation results including mass, Mode 7 natural frequency (first in-plane bending mode), and Mode 11 natural frequency (higher-order deformation mode). </w:t>
      </w:r>
      <w:r>
        <w:rPr>
          <w:rFonts w:ascii="Times New Roman" w:hAnsi="Times New Roman"/>
          <w:b/>
          <w:i w:val="0"/>
          <w:sz w:val="24"/>
        </w:rPr>
        <w:t xml:space="preserve">Constraint Scope: </w:t>
      </w:r>
      <w:r>
        <w:rPr>
          <w:rFonts w:ascii="Times New Roman" w:hAnsi="Times New Roman"/>
          <w:b w:val="0"/>
          <w:i w:val="0"/>
          <w:sz w:val="24"/>
        </w:rPr>
        <w:t>Engineering constraints are derived from automotive industry standards (see Table 1):</w:t>
      </w:r>
    </w:p>
    <w:p>
      <w:pPr>
        <w:spacing w:before="80" w:after="0" w:line="240" w:lineRule="auto"/>
      </w:pPr>
      <w:r>
        <w:rPr>
          <w:rFonts w:ascii="Times New Roman" w:hAnsi="Times New Roman"/>
          <w:b/>
          <w:i/>
          <w:sz w:val="22"/>
        </w:rPr>
        <w:t>Table 1</w:t>
      </w:r>
    </w:p>
    <w:p>
      <w:pPr>
        <w:spacing w:before="0" w:after="40" w:line="240" w:lineRule="auto"/>
      </w:pPr>
      <w:r>
        <w:rPr>
          <w:rFonts w:ascii="Times New Roman" w:hAnsi="Times New Roman"/>
          <w:i/>
          <w:sz w:val="22"/>
        </w:rPr>
        <w:t>Engineering Constraint Parameters for Wheel Validation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jc w:val="center"/>
            </w:pPr>
            <w:r>
              <w:rPr>
                <w:rFonts w:ascii="Times New Roman" w:hAnsi="Times New Roman"/>
                <w:b/>
                <w:sz w:val="20"/>
              </w:rPr>
              <w:t>Constraint Parameter</w:t>
            </w:r>
          </w:p>
        </w:tc>
        <w:tc>
          <w:tcPr>
            <w:tcW w:type="dxa" w:w="2340"/>
            <w:shd w:fill="D9E2F3"/>
          </w:tcPr>
          <w:p>
            <w:pPr>
              <w:jc w:val="center"/>
            </w:pPr>
            <w:r>
              <w:rPr>
                <w:rFonts w:ascii="Times New Roman" w:hAnsi="Times New Roman"/>
                <w:b/>
                <w:sz w:val="20"/>
              </w:rPr>
              <w:t>Lower Bound</w:t>
            </w:r>
          </w:p>
        </w:tc>
        <w:tc>
          <w:tcPr>
            <w:tcW w:type="dxa" w:w="2340"/>
            <w:shd w:fill="D9E2F3"/>
          </w:tcPr>
          <w:p>
            <w:pPr>
              <w:jc w:val="center"/>
            </w:pPr>
            <w:r>
              <w:rPr>
                <w:rFonts w:ascii="Times New Roman" w:hAnsi="Times New Roman"/>
                <w:b/>
                <w:sz w:val="20"/>
              </w:rPr>
              <w:t>Upper Bound</w:t>
            </w:r>
          </w:p>
        </w:tc>
        <w:tc>
          <w:tcPr>
            <w:tcW w:type="dxa" w:w="2340"/>
            <w:shd w:fill="D9E2F3"/>
          </w:tcPr>
          <w:p>
            <w:pPr>
              <w:jc w:val="center"/>
            </w:pPr>
            <w:r>
              <w:rPr>
                <w:rFonts w:ascii="Times New Roman" w:hAnsi="Times New Roman"/>
                <w:b/>
                <w:sz w:val="20"/>
              </w:rPr>
              <w:t>Standard Reference</w:t>
            </w:r>
          </w:p>
        </w:tc>
      </w:tr>
      <w:tr>
        <w:tc>
          <w:tcPr>
            <w:tcW w:type="dxa" w:w="2340"/>
          </w:tcPr>
          <w:p>
            <w:pPr>
              <w:jc w:val="center"/>
            </w:pPr>
            <w:r>
              <w:rPr>
                <w:rFonts w:ascii="Times New Roman" w:hAnsi="Times New Roman"/>
                <w:sz w:val="20"/>
              </w:rPr>
              <w:t>Wheel Mass</w:t>
            </w:r>
          </w:p>
        </w:tc>
        <w:tc>
          <w:tcPr>
            <w:tcW w:type="dxa" w:w="2340"/>
          </w:tcPr>
          <w:p>
            <w:pPr>
              <w:jc w:val="center"/>
            </w:pPr>
            <w:r>
              <w:rPr>
                <w:rFonts w:ascii="Times New Roman" w:hAnsi="Times New Roman"/>
                <w:sz w:val="20"/>
              </w:rPr>
              <w:t>18.0 kg</w:t>
            </w:r>
          </w:p>
        </w:tc>
        <w:tc>
          <w:tcPr>
            <w:tcW w:type="dxa" w:w="2340"/>
          </w:tcPr>
          <w:p>
            <w:pPr>
              <w:jc w:val="center"/>
            </w:pPr>
            <w:r>
              <w:rPr>
                <w:rFonts w:ascii="Times New Roman" w:hAnsi="Times New Roman"/>
                <w:sz w:val="20"/>
              </w:rPr>
              <w:t>23.0 kg</w:t>
            </w:r>
          </w:p>
        </w:tc>
        <w:tc>
          <w:tcPr>
            <w:tcW w:type="dxa" w:w="2340"/>
          </w:tcPr>
          <w:p>
            <w:pPr>
              <w:jc w:val="center"/>
            </w:pPr>
            <w:r>
              <w:rPr>
                <w:rFonts w:ascii="Times New Roman" w:hAnsi="Times New Roman"/>
                <w:sz w:val="20"/>
              </w:rPr>
              <w:t>Original Equipment Manufacturer (OEM) specifications</w:t>
            </w:r>
          </w:p>
        </w:tc>
      </w:tr>
      <w:tr>
        <w:tc>
          <w:tcPr>
            <w:tcW w:type="dxa" w:w="2340"/>
          </w:tcPr>
          <w:p>
            <w:pPr>
              <w:jc w:val="center"/>
            </w:pPr>
            <w:r>
              <w:rPr>
                <w:rFonts w:ascii="Times New Roman" w:hAnsi="Times New Roman"/>
                <w:sz w:val="20"/>
              </w:rPr>
              <w:t>Mode 7 Natural Frequency</w:t>
            </w:r>
          </w:p>
        </w:tc>
        <w:tc>
          <w:tcPr>
            <w:tcW w:type="dxa" w:w="2340"/>
          </w:tcPr>
          <w:p>
            <w:pPr>
              <w:jc w:val="center"/>
            </w:pPr>
            <w:r>
              <w:rPr>
                <w:rFonts w:ascii="Times New Roman" w:hAnsi="Times New Roman"/>
                <w:sz w:val="20"/>
              </w:rPr>
              <w:t>380 Hz</w:t>
            </w:r>
          </w:p>
        </w:tc>
        <w:tc>
          <w:tcPr>
            <w:tcW w:type="dxa" w:w="2340"/>
          </w:tcPr>
          <w:p>
            <w:pPr>
              <w:jc w:val="center"/>
            </w:pPr>
            <w:r>
              <w:rPr>
                <w:rFonts w:ascii="Times New Roman" w:hAnsi="Times New Roman"/>
                <w:sz w:val="20"/>
              </w:rPr>
              <w:t>470 Hz</w:t>
            </w:r>
          </w:p>
        </w:tc>
        <w:tc>
          <w:tcPr>
            <w:tcW w:type="dxa" w:w="2340"/>
          </w:tcPr>
          <w:p>
            <w:pPr>
              <w:jc w:val="center"/>
            </w:pPr>
            <w:r>
              <w:rPr>
                <w:rFonts w:ascii="Times New Roman" w:hAnsi="Times New Roman"/>
                <w:sz w:val="20"/>
              </w:rPr>
              <w:t>NVH avoidance (Beta CAE, 2023)</w:t>
            </w:r>
          </w:p>
        </w:tc>
      </w:tr>
      <w:tr>
        <w:tc>
          <w:tcPr>
            <w:tcW w:type="dxa" w:w="2340"/>
          </w:tcPr>
          <w:p>
            <w:pPr>
              <w:jc w:val="center"/>
            </w:pPr>
            <w:r>
              <w:rPr>
                <w:rFonts w:ascii="Times New Roman" w:hAnsi="Times New Roman"/>
                <w:sz w:val="20"/>
              </w:rPr>
              <w:t>Mode 11 Natural Frequency</w:t>
            </w:r>
          </w:p>
        </w:tc>
        <w:tc>
          <w:tcPr>
            <w:tcW w:type="dxa" w:w="2340"/>
          </w:tcPr>
          <w:p>
            <w:pPr>
              <w:jc w:val="center"/>
            </w:pPr>
            <w:r>
              <w:rPr>
                <w:rFonts w:ascii="Times New Roman" w:hAnsi="Times New Roman"/>
                <w:sz w:val="20"/>
              </w:rPr>
              <w:t>1000 Hz</w:t>
            </w:r>
          </w:p>
        </w:tc>
        <w:tc>
          <w:tcPr>
            <w:tcW w:type="dxa" w:w="2340"/>
          </w:tcPr>
          <w:p>
            <w:pPr>
              <w:jc w:val="center"/>
            </w:pPr>
            <w:r>
              <w:rPr>
                <w:rFonts w:ascii="Times New Roman" w:hAnsi="Times New Roman"/>
                <w:sz w:val="20"/>
              </w:rPr>
              <w:t>1400 Hz</w:t>
            </w:r>
          </w:p>
        </w:tc>
        <w:tc>
          <w:tcPr>
            <w:tcW w:type="dxa" w:w="2340"/>
          </w:tcPr>
          <w:p>
            <w:pPr>
              <w:jc w:val="center"/>
            </w:pPr>
            <w:r>
              <w:rPr>
                <w:rFonts w:ascii="Times New Roman" w:hAnsi="Times New Roman"/>
                <w:sz w:val="20"/>
              </w:rPr>
              <w:t>High-frequency stiffness</w:t>
            </w:r>
          </w:p>
        </w:tc>
      </w:tr>
      <w:tr>
        <w:tc>
          <w:tcPr>
            <w:tcW w:type="dxa" w:w="2340"/>
          </w:tcPr>
          <w:p>
            <w:pPr>
              <w:jc w:val="center"/>
            </w:pPr>
            <w:r>
              <w:rPr>
                <w:rFonts w:ascii="Times New Roman" w:hAnsi="Times New Roman"/>
                <w:sz w:val="20"/>
              </w:rPr>
              <w:t>Stiffness Ratio (f₁₁/f₇)</w:t>
            </w:r>
          </w:p>
        </w:tc>
        <w:tc>
          <w:tcPr>
            <w:tcW w:type="dxa" w:w="2340"/>
          </w:tcPr>
          <w:p>
            <w:pPr>
              <w:jc w:val="center"/>
            </w:pPr>
            <w:r>
              <w:rPr>
                <w:rFonts w:ascii="Times New Roman" w:hAnsi="Times New Roman"/>
                <w:sz w:val="20"/>
              </w:rPr>
              <w:t>2.5</w:t>
            </w:r>
          </w:p>
        </w:tc>
        <w:tc>
          <w:tcPr>
            <w:tcW w:type="dxa" w:w="2340"/>
          </w:tcPr>
          <w:p>
            <w:pPr>
              <w:jc w:val="center"/>
            </w:pPr>
            <w:r>
              <w:rPr>
                <w:rFonts w:ascii="Times New Roman" w:hAnsi="Times New Roman"/>
                <w:sz w:val="20"/>
              </w:rPr>
              <w:t>3.2</w:t>
            </w:r>
          </w:p>
        </w:tc>
        <w:tc>
          <w:tcPr>
            <w:tcW w:type="dxa" w:w="2340"/>
          </w:tcPr>
          <w:p>
            <w:pPr>
              <w:jc w:val="center"/>
            </w:pPr>
            <w:r>
              <w:rPr>
                <w:rFonts w:ascii="Times New Roman" w:hAnsi="Times New Roman"/>
                <w:sz w:val="20"/>
              </w:rPr>
              <w:t>Structural balance criterion</w:t>
            </w:r>
          </w:p>
        </w:tc>
      </w:tr>
    </w:tbl>
    <w:p>
      <w:pPr>
        <w:spacing w:before="0" w:after="0" w:line="480" w:lineRule="auto"/>
        <w:ind w:firstLine="720"/>
        <w:jc w:val="both"/>
      </w:pPr>
      <w:r>
        <w:rPr>
          <w:rFonts w:ascii="Times New Roman" w:hAnsi="Times New Roman"/>
          <w:b w:val="0"/>
          <w:i w:val="0"/>
          <w:sz w:val="24"/>
        </w:rPr>
        <w:t>These constraints ensure wheels avoid resonance coupling with tire cavity modes (typically 200–250 Hz) and powertrain excitation frequencies, preventing interior Noise, Vibration, and Harshness (NVH) degradation.</w:t>
      </w:r>
    </w:p>
    <w:p>
      <w:pPr>
        <w:spacing w:before="0" w:after="0" w:line="480" w:lineRule="auto"/>
        <w:ind w:firstLine="720"/>
        <w:jc w:val="both"/>
      </w:pPr>
      <w:r>
        <w:rPr>
          <w:rFonts w:ascii="Times New Roman" w:hAnsi="Times New Roman"/>
          <w:b/>
          <w:i w:val="0"/>
          <w:sz w:val="24"/>
        </w:rPr>
        <w:t xml:space="preserve">Ethical Compliance: </w:t>
      </w:r>
      <w:r>
        <w:rPr>
          <w:rFonts w:ascii="Times New Roman" w:hAnsi="Times New Roman"/>
          <w:b w:val="0"/>
          <w:i w:val="0"/>
          <w:sz w:val="24"/>
        </w:rPr>
        <w:t xml:space="preserve">All data originates from publicly available sources released under Creative Commons Attribution-NonCommercial 4.0 International (CC BY-NC 4.0) license, ensuring full ethical compliance and reproducibility. </w:t>
      </w:r>
      <w:r>
        <w:rPr>
          <w:rFonts w:ascii="Times New Roman" w:hAnsi="Times New Roman"/>
          <w:b/>
          <w:i w:val="0"/>
          <w:sz w:val="24"/>
        </w:rPr>
        <w:t xml:space="preserve">Feasibility: </w:t>
      </w:r>
      <w:r>
        <w:rPr>
          <w:rFonts w:ascii="Times New Roman" w:hAnsi="Times New Roman"/>
          <w:b w:val="0"/>
          <w:i w:val="0"/>
          <w:sz w:val="24"/>
        </w:rPr>
        <w:t>The project is designed for completion within a 10-week academic term with clearly defined milestones.</w:t>
      </w:r>
    </w:p>
    <w:p>
      <w:pPr>
        <w:pStyle w:val="Heading2"/>
        <w:spacing w:before="40" w:after="40"/>
      </w:pPr>
      <w:r>
        <w:rPr>
          <w:rFonts w:ascii="Times New Roman" w:hAnsi="Times New Roman"/>
          <w:color w:val="000000"/>
          <w:sz w:val="26"/>
        </w:rPr>
        <w:t>Research Questions and Hypotheses</w:t>
      </w:r>
    </w:p>
    <w:p>
      <w:pPr>
        <w:spacing w:before="0" w:after="0" w:line="480" w:lineRule="auto"/>
        <w:ind w:firstLine="720"/>
        <w:jc w:val="both"/>
      </w:pPr>
      <w:r>
        <w:rPr>
          <w:rFonts w:ascii="Times New Roman" w:hAnsi="Times New Roman"/>
          <w:b/>
          <w:i w:val="0"/>
          <w:sz w:val="24"/>
        </w:rPr>
        <w:t xml:space="preserve">RQ1: </w:t>
      </w:r>
      <w:r>
        <w:rPr>
          <w:rFonts w:ascii="Times New Roman" w:hAnsi="Times New Roman"/>
          <w:b w:val="0"/>
          <w:i/>
          <w:sz w:val="24"/>
        </w:rPr>
        <w:t xml:space="preserve">What proportion of AI-generated 3D wheel designs fail predefined engineering validation checks? </w:t>
      </w:r>
      <w:r>
        <w:rPr>
          <w:rFonts w:ascii="Times New Roman" w:hAnsi="Times New Roman"/>
          <w:b w:val="0"/>
          <w:i w:val="0"/>
          <w:sz w:val="24"/>
        </w:rPr>
        <w:t xml:space="preserve">Understanding baseline failure rates establishes the scope of the validation problem (Gelman et al., 2020). </w:t>
      </w:r>
      <w:r>
        <w:rPr>
          <w:rFonts w:ascii="Times New Roman" w:hAnsi="Times New Roman"/>
          <w:b/>
          <w:i w:val="0"/>
          <w:sz w:val="24"/>
        </w:rPr>
        <w:t xml:space="preserve">Hypothesis H1: </w:t>
      </w:r>
      <w:r>
        <w:rPr>
          <w:rFonts w:ascii="Times New Roman" w:hAnsi="Times New Roman"/>
          <w:b w:val="0"/>
          <w:i w:val="0"/>
          <w:sz w:val="24"/>
        </w:rPr>
        <w:t xml:space="preserve">&gt;25% of AI-generated wheel designs will fail at least one engineering constraint. </w:t>
      </w:r>
      <w:r>
        <w:rPr>
          <w:rFonts w:ascii="Times New Roman" w:hAnsi="Times New Roman"/>
          <w:b/>
          <w:i w:val="0"/>
          <w:sz w:val="24"/>
        </w:rPr>
        <w:t xml:space="preserve">Methodology: </w:t>
      </w:r>
      <w:r>
        <w:rPr>
          <w:rFonts w:ascii="Times New Roman" w:hAnsi="Times New Roman"/>
          <w:b w:val="0"/>
          <w:i w:val="0"/>
          <w:sz w:val="24"/>
        </w:rPr>
        <w:t>Descriptive statistical analysis with 95% Confidence Interval (CI), stratified failure analysis by constraint type.</w:t>
      </w:r>
    </w:p>
    <w:p>
      <w:pPr>
        <w:spacing w:before="0" w:after="0" w:line="480" w:lineRule="auto"/>
        <w:ind w:firstLine="720"/>
        <w:jc w:val="both"/>
      </w:pPr>
      <w:r>
        <w:rPr>
          <w:rFonts w:ascii="Times New Roman" w:hAnsi="Times New Roman"/>
          <w:b/>
          <w:i w:val="0"/>
          <w:sz w:val="24"/>
        </w:rPr>
        <w:t xml:space="preserve">RQ2: </w:t>
      </w:r>
      <w:r>
        <w:rPr>
          <w:rFonts w:ascii="Times New Roman" w:hAnsi="Times New Roman"/>
          <w:b w:val="0"/>
          <w:i/>
          <w:sz w:val="24"/>
        </w:rPr>
        <w:t xml:space="preserve">Which input design parameters most influence constraint failure? </w:t>
      </w:r>
      <w:r>
        <w:rPr>
          <w:rFonts w:ascii="Times New Roman" w:hAnsi="Times New Roman"/>
          <w:b w:val="0"/>
          <w:i w:val="0"/>
          <w:sz w:val="24"/>
        </w:rPr>
        <w:t xml:space="preserve">Feature importance analysis enables prioritization of design parameters (Chen et al., 2023). </w:t>
      </w:r>
      <w:r>
        <w:rPr>
          <w:rFonts w:ascii="Times New Roman" w:hAnsi="Times New Roman"/>
          <w:b/>
          <w:i w:val="0"/>
          <w:sz w:val="24"/>
        </w:rPr>
        <w:t xml:space="preserve">Hypothesis H2: </w:t>
      </w:r>
      <w:r>
        <w:rPr>
          <w:rFonts w:ascii="Times New Roman" w:hAnsi="Times New Roman"/>
          <w:b w:val="0"/>
          <w:i w:val="0"/>
          <w:sz w:val="24"/>
        </w:rPr>
        <w:t xml:space="preserve">Mode 11 natural frequency will exhibit the strongest association with validation failure. </w:t>
      </w:r>
      <w:r>
        <w:rPr>
          <w:rFonts w:ascii="Times New Roman" w:hAnsi="Times New Roman"/>
          <w:b/>
          <w:i w:val="0"/>
          <w:sz w:val="24"/>
        </w:rPr>
        <w:t xml:space="preserve">Methodology: </w:t>
      </w:r>
      <w:r>
        <w:rPr>
          <w:rFonts w:ascii="Times New Roman" w:hAnsi="Times New Roman"/>
          <w:b w:val="0"/>
          <w:i w:val="0"/>
          <w:sz w:val="24"/>
        </w:rPr>
        <w:t>Point-biserial correlation analysis, Random Forest feature importance, and Gradient Boosting feature contribution analysis.</w:t>
      </w:r>
    </w:p>
    <w:p>
      <w:pPr>
        <w:spacing w:before="0" w:after="0" w:line="480" w:lineRule="auto"/>
        <w:ind w:firstLine="720"/>
        <w:jc w:val="both"/>
      </w:pPr>
      <w:r>
        <w:rPr>
          <w:rFonts w:ascii="Times New Roman" w:hAnsi="Times New Roman"/>
          <w:b/>
          <w:i w:val="0"/>
          <w:sz w:val="24"/>
        </w:rPr>
        <w:t xml:space="preserve">RQ3: </w:t>
      </w:r>
      <w:r>
        <w:rPr>
          <w:rFonts w:ascii="Times New Roman" w:hAnsi="Times New Roman"/>
          <w:b w:val="0"/>
          <w:i/>
          <w:sz w:val="24"/>
        </w:rPr>
        <w:t xml:space="preserve">Can a classification model predict validation outcomes using parametric metadata alone? </w:t>
      </w:r>
      <w:r>
        <w:rPr>
          <w:rFonts w:ascii="Times New Roman" w:hAnsi="Times New Roman"/>
          <w:b w:val="0"/>
          <w:i w:val="0"/>
          <w:sz w:val="24"/>
        </w:rPr>
        <w:t xml:space="preserve">Predictive models enable pre-screening before computationally expensive simulations, potentially reducing workload by 30–50% (Li &amp; Wang, 2023). </w:t>
      </w:r>
      <w:r>
        <w:rPr>
          <w:rFonts w:ascii="Times New Roman" w:hAnsi="Times New Roman"/>
          <w:b/>
          <w:i w:val="0"/>
          <w:sz w:val="24"/>
        </w:rPr>
        <w:t xml:space="preserve">Hypothesis H3: </w:t>
      </w:r>
      <w:r>
        <w:rPr>
          <w:rFonts w:ascii="Times New Roman" w:hAnsi="Times New Roman"/>
          <w:b w:val="0"/>
          <w:i w:val="0"/>
          <w:sz w:val="24"/>
        </w:rPr>
        <w:t xml:space="preserve">ML classifiers will achieve Area Under the Receiver Operating Characteristic curve (AUC-ROC) ≥ 0.85. </w:t>
      </w:r>
      <w:r>
        <w:rPr>
          <w:rFonts w:ascii="Times New Roman" w:hAnsi="Times New Roman"/>
          <w:b/>
          <w:i w:val="0"/>
          <w:sz w:val="24"/>
        </w:rPr>
        <w:t xml:space="preserve">Methodology: </w:t>
      </w:r>
      <w:r>
        <w:rPr>
          <w:rFonts w:ascii="Times New Roman" w:hAnsi="Times New Roman"/>
          <w:b w:val="0"/>
          <w:i w:val="0"/>
          <w:sz w:val="24"/>
        </w:rPr>
        <w:t>Logistic Regression, Multi-Layer Perceptron (MLP), Random Forest, and XGBoost with stratified 5-fold cross-validation.</w:t>
      </w:r>
    </w:p>
    <w:p>
      <w:pPr>
        <w:spacing w:before="0" w:after="0" w:line="480" w:lineRule="auto"/>
        <w:ind w:firstLine="720"/>
        <w:jc w:val="both"/>
      </w:pPr>
      <w:r>
        <w:rPr>
          <w:rFonts w:ascii="Times New Roman" w:hAnsi="Times New Roman"/>
          <w:b/>
          <w:i w:val="0"/>
          <w:sz w:val="24"/>
        </w:rPr>
        <w:t xml:space="preserve">RQ4: </w:t>
      </w:r>
      <w:r>
        <w:rPr>
          <w:rFonts w:ascii="Times New Roman" w:hAnsi="Times New Roman"/>
          <w:b w:val="0"/>
          <w:i/>
          <w:sz w:val="24"/>
        </w:rPr>
        <w:t xml:space="preserve">What design parameter combinations are most associated with successful wheels? </w:t>
      </w:r>
      <w:r>
        <w:rPr>
          <w:rFonts w:ascii="Times New Roman" w:hAnsi="Times New Roman"/>
          <w:b w:val="0"/>
          <w:i w:val="0"/>
          <w:sz w:val="24"/>
        </w:rPr>
        <w:t xml:space="preserve">Pattern characterization provides actionable design guidelines (Regenwetter et al., 2022). </w:t>
      </w:r>
      <w:r>
        <w:rPr>
          <w:rFonts w:ascii="Times New Roman" w:hAnsi="Times New Roman"/>
          <w:b/>
          <w:i w:val="0"/>
          <w:sz w:val="24"/>
        </w:rPr>
        <w:t xml:space="preserve">Hypothesis H4: </w:t>
      </w:r>
      <w:r>
        <w:rPr>
          <w:rFonts w:ascii="Times New Roman" w:hAnsi="Times New Roman"/>
          <w:b w:val="0"/>
          <w:i w:val="0"/>
          <w:sz w:val="24"/>
        </w:rPr>
        <w:t xml:space="preserve">Valid designs will cluster at moderate mass (20–22 kg) and balanced frequency ratios (2.8–3.0). </w:t>
      </w:r>
      <w:r>
        <w:rPr>
          <w:rFonts w:ascii="Times New Roman" w:hAnsi="Times New Roman"/>
          <w:b/>
          <w:i w:val="0"/>
          <w:sz w:val="24"/>
        </w:rPr>
        <w:t xml:space="preserve">Methodology: </w:t>
      </w:r>
      <w:r>
        <w:rPr>
          <w:rFonts w:ascii="Times New Roman" w:hAnsi="Times New Roman"/>
          <w:b w:val="0"/>
          <w:i w:val="0"/>
          <w:sz w:val="24"/>
        </w:rPr>
        <w:t>Principal Component Analysis (PCA), K-Means clustering, and Classification and Regression Trees (CART) decision tree for interpretable rule extraction.</w:t>
      </w:r>
    </w:p>
    <w:p>
      <w:pPr>
        <w:pStyle w:val="Heading2"/>
        <w:spacing w:before="40" w:after="40"/>
      </w:pPr>
      <w:r>
        <w:rPr>
          <w:rFonts w:ascii="Times New Roman" w:hAnsi="Times New Roman"/>
          <w:color w:val="000000"/>
          <w:sz w:val="26"/>
        </w:rPr>
        <w:t>Sample Size Calculation</w:t>
      </w:r>
    </w:p>
    <w:p>
      <w:pPr>
        <w:spacing w:before="0" w:after="0" w:line="480" w:lineRule="auto"/>
        <w:ind w:firstLine="720"/>
        <w:jc w:val="both"/>
      </w:pPr>
      <w:r>
        <w:rPr>
          <w:rFonts w:ascii="Times New Roman" w:hAnsi="Times New Roman"/>
          <w:b w:val="0"/>
          <w:i w:val="0"/>
          <w:sz w:val="24"/>
        </w:rPr>
        <w:t>Sample size calculations ensure adequate statistical power. The DeepWheel dataset provides n = 904 complete records. Table 2 summarizes the results; detailed formulas are presented in Section 4.</w:t>
      </w:r>
    </w:p>
    <w:p>
      <w:pPr>
        <w:spacing w:before="80" w:after="0" w:line="240" w:lineRule="auto"/>
      </w:pPr>
      <w:r>
        <w:rPr>
          <w:rFonts w:ascii="Times New Roman" w:hAnsi="Times New Roman"/>
          <w:b/>
          <w:i/>
          <w:sz w:val="22"/>
        </w:rPr>
        <w:t>Table 2</w:t>
      </w:r>
    </w:p>
    <w:p>
      <w:pPr>
        <w:spacing w:before="0" w:after="40" w:line="240" w:lineRule="auto"/>
      </w:pPr>
      <w:r>
        <w:rPr>
          <w:rFonts w:ascii="Times New Roman" w:hAnsi="Times New Roman"/>
          <w:i/>
          <w:sz w:val="22"/>
        </w:rPr>
        <w:t>Sample Size Requirements by Research Question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jc w:val="center"/>
            </w:pPr>
            <w:r>
              <w:rPr>
                <w:rFonts w:ascii="Times New Roman" w:hAnsi="Times New Roman"/>
                <w:b/>
                <w:sz w:val="20"/>
              </w:rPr>
              <w:t>Research Question</w:t>
            </w:r>
          </w:p>
        </w:tc>
        <w:tc>
          <w:tcPr>
            <w:tcW w:type="dxa" w:w="1872"/>
            <w:shd w:fill="D9E2F3"/>
          </w:tcPr>
          <w:p>
            <w:pPr>
              <w:jc w:val="center"/>
            </w:pPr>
            <w:r>
              <w:rPr>
                <w:rFonts w:ascii="Times New Roman" w:hAnsi="Times New Roman"/>
                <w:b/>
                <w:sz w:val="20"/>
              </w:rPr>
              <w:t>Statistical Method</w:t>
            </w:r>
          </w:p>
        </w:tc>
        <w:tc>
          <w:tcPr>
            <w:tcW w:type="dxa" w:w="1872"/>
            <w:shd w:fill="D9E2F3"/>
          </w:tcPr>
          <w:p>
            <w:pPr>
              <w:jc w:val="center"/>
            </w:pPr>
            <w:r>
              <w:rPr>
                <w:rFonts w:ascii="Times New Roman" w:hAnsi="Times New Roman"/>
                <w:b/>
                <w:sz w:val="20"/>
              </w:rPr>
              <w:t>Required n</w:t>
            </w:r>
          </w:p>
        </w:tc>
        <w:tc>
          <w:tcPr>
            <w:tcW w:type="dxa" w:w="1872"/>
            <w:shd w:fill="D9E2F3"/>
          </w:tcPr>
          <w:p>
            <w:pPr>
              <w:jc w:val="center"/>
            </w:pPr>
            <w:r>
              <w:rPr>
                <w:rFonts w:ascii="Times New Roman" w:hAnsi="Times New Roman"/>
                <w:b/>
                <w:sz w:val="20"/>
              </w:rPr>
              <w:t>Available n</w:t>
            </w:r>
          </w:p>
        </w:tc>
        <w:tc>
          <w:tcPr>
            <w:tcW w:type="dxa" w:w="1872"/>
            <w:shd w:fill="D9E2F3"/>
          </w:tcPr>
          <w:p>
            <w:pPr>
              <w:jc w:val="center"/>
            </w:pPr>
            <w:r>
              <w:rPr>
                <w:rFonts w:ascii="Times New Roman" w:hAnsi="Times New Roman"/>
                <w:b/>
                <w:sz w:val="20"/>
              </w:rPr>
              <w:t>Power</w:t>
            </w:r>
          </w:p>
        </w:tc>
      </w:tr>
      <w:tr>
        <w:tc>
          <w:tcPr>
            <w:tcW w:type="dxa" w:w="1872"/>
          </w:tcPr>
          <w:p>
            <w:pPr>
              <w:jc w:val="center"/>
            </w:pPr>
            <w:r>
              <w:rPr>
                <w:rFonts w:ascii="Times New Roman" w:hAnsi="Times New Roman"/>
                <w:sz w:val="20"/>
              </w:rPr>
              <w:t>RQ1</w:t>
            </w:r>
          </w:p>
        </w:tc>
        <w:tc>
          <w:tcPr>
            <w:tcW w:type="dxa" w:w="1872"/>
          </w:tcPr>
          <w:p>
            <w:pPr>
              <w:jc w:val="center"/>
            </w:pPr>
            <w:r>
              <w:rPr>
                <w:rFonts w:ascii="Times New Roman" w:hAnsi="Times New Roman"/>
                <w:sz w:val="20"/>
              </w:rPr>
              <w:t>CI for proportion</w:t>
            </w:r>
          </w:p>
        </w:tc>
        <w:tc>
          <w:tcPr>
            <w:tcW w:type="dxa" w:w="1872"/>
          </w:tcPr>
          <w:p>
            <w:pPr>
              <w:jc w:val="center"/>
            </w:pPr>
            <w:r>
              <w:rPr>
                <w:rFonts w:ascii="Times New Roman" w:hAnsi="Times New Roman"/>
                <w:sz w:val="20"/>
              </w:rPr>
              <w:t>323</w:t>
            </w:r>
          </w:p>
        </w:tc>
        <w:tc>
          <w:tcPr>
            <w:tcW w:type="dxa" w:w="1872"/>
          </w:tcPr>
          <w:p>
            <w:pPr>
              <w:jc w:val="center"/>
            </w:pPr>
            <w:r>
              <w:rPr>
                <w:rFonts w:ascii="Times New Roman" w:hAnsi="Times New Roman"/>
                <w:sz w:val="20"/>
              </w:rPr>
              <w:t>904</w:t>
            </w:r>
          </w:p>
        </w:tc>
        <w:tc>
          <w:tcPr>
            <w:tcW w:type="dxa" w:w="1872"/>
          </w:tcPr>
          <w:p>
            <w:pPr>
              <w:jc w:val="center"/>
            </w:pPr>
            <w:r>
              <w:rPr>
                <w:rFonts w:ascii="Times New Roman" w:hAnsi="Times New Roman"/>
                <w:sz w:val="20"/>
              </w:rPr>
              <w:t>&gt;95%</w:t>
            </w:r>
          </w:p>
        </w:tc>
      </w:tr>
      <w:tr>
        <w:tc>
          <w:tcPr>
            <w:tcW w:type="dxa" w:w="1872"/>
          </w:tcPr>
          <w:p>
            <w:pPr>
              <w:jc w:val="center"/>
            </w:pPr>
            <w:r>
              <w:rPr>
                <w:rFonts w:ascii="Times New Roman" w:hAnsi="Times New Roman"/>
                <w:sz w:val="20"/>
              </w:rPr>
              <w:t>RQ2</w:t>
            </w:r>
          </w:p>
        </w:tc>
        <w:tc>
          <w:tcPr>
            <w:tcW w:type="dxa" w:w="1872"/>
          </w:tcPr>
          <w:p>
            <w:pPr>
              <w:jc w:val="center"/>
            </w:pPr>
            <w:r>
              <w:rPr>
                <w:rFonts w:ascii="Times New Roman" w:hAnsi="Times New Roman"/>
                <w:sz w:val="20"/>
              </w:rPr>
              <w:t>Correlation (r=0.20)</w:t>
            </w:r>
          </w:p>
        </w:tc>
        <w:tc>
          <w:tcPr>
            <w:tcW w:type="dxa" w:w="1872"/>
          </w:tcPr>
          <w:p>
            <w:pPr>
              <w:jc w:val="center"/>
            </w:pPr>
            <w:r>
              <w:rPr>
                <w:rFonts w:ascii="Times New Roman" w:hAnsi="Times New Roman"/>
                <w:sz w:val="20"/>
              </w:rPr>
              <w:t>194</w:t>
            </w:r>
          </w:p>
        </w:tc>
        <w:tc>
          <w:tcPr>
            <w:tcW w:type="dxa" w:w="1872"/>
          </w:tcPr>
          <w:p>
            <w:pPr>
              <w:jc w:val="center"/>
            </w:pPr>
            <w:r>
              <w:rPr>
                <w:rFonts w:ascii="Times New Roman" w:hAnsi="Times New Roman"/>
                <w:sz w:val="20"/>
              </w:rPr>
              <w:t>904</w:t>
            </w:r>
          </w:p>
        </w:tc>
        <w:tc>
          <w:tcPr>
            <w:tcW w:type="dxa" w:w="1872"/>
          </w:tcPr>
          <w:p>
            <w:pPr>
              <w:jc w:val="center"/>
            </w:pPr>
            <w:r>
              <w:rPr>
                <w:rFonts w:ascii="Times New Roman" w:hAnsi="Times New Roman"/>
                <w:sz w:val="20"/>
              </w:rPr>
              <w:t>&gt;95%</w:t>
            </w:r>
          </w:p>
        </w:tc>
      </w:tr>
      <w:tr>
        <w:tc>
          <w:tcPr>
            <w:tcW w:type="dxa" w:w="1872"/>
          </w:tcPr>
          <w:p>
            <w:pPr>
              <w:jc w:val="center"/>
            </w:pPr>
            <w:r>
              <w:rPr>
                <w:rFonts w:ascii="Times New Roman" w:hAnsi="Times New Roman"/>
                <w:sz w:val="20"/>
              </w:rPr>
              <w:t>RQ3</w:t>
            </w:r>
          </w:p>
        </w:tc>
        <w:tc>
          <w:tcPr>
            <w:tcW w:type="dxa" w:w="1872"/>
          </w:tcPr>
          <w:p>
            <w:pPr>
              <w:jc w:val="center"/>
            </w:pPr>
            <w:r>
              <w:rPr>
                <w:rFonts w:ascii="Times New Roman" w:hAnsi="Times New Roman"/>
                <w:sz w:val="20"/>
              </w:rPr>
              <w:t>Logistic regression (EPV=15)</w:t>
            </w:r>
          </w:p>
        </w:tc>
        <w:tc>
          <w:tcPr>
            <w:tcW w:type="dxa" w:w="1872"/>
          </w:tcPr>
          <w:p>
            <w:pPr>
              <w:jc w:val="center"/>
            </w:pPr>
            <w:r>
              <w:rPr>
                <w:rFonts w:ascii="Times New Roman" w:hAnsi="Times New Roman"/>
                <w:sz w:val="20"/>
              </w:rPr>
              <w:t>500</w:t>
            </w:r>
          </w:p>
        </w:tc>
        <w:tc>
          <w:tcPr>
            <w:tcW w:type="dxa" w:w="1872"/>
          </w:tcPr>
          <w:p>
            <w:pPr>
              <w:jc w:val="center"/>
            </w:pPr>
            <w:r>
              <w:rPr>
                <w:rFonts w:ascii="Times New Roman" w:hAnsi="Times New Roman"/>
                <w:sz w:val="20"/>
              </w:rPr>
              <w:t>904</w:t>
            </w:r>
          </w:p>
        </w:tc>
        <w:tc>
          <w:tcPr>
            <w:tcW w:type="dxa" w:w="1872"/>
          </w:tcPr>
          <w:p>
            <w:pPr>
              <w:jc w:val="center"/>
            </w:pPr>
            <w:r>
              <w:rPr>
                <w:rFonts w:ascii="Times New Roman" w:hAnsi="Times New Roman"/>
                <w:sz w:val="20"/>
              </w:rPr>
              <w:t>&gt;90%</w:t>
            </w:r>
          </w:p>
        </w:tc>
      </w:tr>
      <w:tr>
        <w:tc>
          <w:tcPr>
            <w:tcW w:type="dxa" w:w="1872"/>
          </w:tcPr>
          <w:p>
            <w:pPr>
              <w:jc w:val="center"/>
            </w:pPr>
            <w:r>
              <w:rPr>
                <w:rFonts w:ascii="Times New Roman" w:hAnsi="Times New Roman"/>
                <w:sz w:val="20"/>
              </w:rPr>
              <w:t>RQ4</w:t>
            </w:r>
          </w:p>
        </w:tc>
        <w:tc>
          <w:tcPr>
            <w:tcW w:type="dxa" w:w="1872"/>
          </w:tcPr>
          <w:p>
            <w:pPr>
              <w:jc w:val="center"/>
            </w:pPr>
            <w:r>
              <w:rPr>
                <w:rFonts w:ascii="Times New Roman" w:hAnsi="Times New Roman"/>
                <w:sz w:val="20"/>
              </w:rPr>
              <w:t>Two-sample t-test (d=0.5)</w:t>
            </w:r>
          </w:p>
        </w:tc>
        <w:tc>
          <w:tcPr>
            <w:tcW w:type="dxa" w:w="1872"/>
          </w:tcPr>
          <w:p>
            <w:pPr>
              <w:jc w:val="center"/>
            </w:pPr>
            <w:r>
              <w:rPr>
                <w:rFonts w:ascii="Times New Roman" w:hAnsi="Times New Roman"/>
                <w:sz w:val="20"/>
              </w:rPr>
              <w:t>126</w:t>
            </w:r>
          </w:p>
        </w:tc>
        <w:tc>
          <w:tcPr>
            <w:tcW w:type="dxa" w:w="1872"/>
          </w:tcPr>
          <w:p>
            <w:pPr>
              <w:jc w:val="center"/>
            </w:pPr>
            <w:r>
              <w:rPr>
                <w:rFonts w:ascii="Times New Roman" w:hAnsi="Times New Roman"/>
                <w:sz w:val="20"/>
              </w:rPr>
              <w:t>904</w:t>
            </w:r>
          </w:p>
        </w:tc>
        <w:tc>
          <w:tcPr>
            <w:tcW w:type="dxa" w:w="1872"/>
          </w:tcPr>
          <w:p>
            <w:pPr>
              <w:jc w:val="center"/>
            </w:pPr>
            <w:r>
              <w:rPr>
                <w:rFonts w:ascii="Times New Roman" w:hAnsi="Times New Roman"/>
                <w:sz w:val="20"/>
              </w:rPr>
              <w:t>&gt;99%</w:t>
            </w:r>
          </w:p>
        </w:tc>
      </w:tr>
    </w:tbl>
    <w:p>
      <w:pPr>
        <w:pStyle w:val="Heading1"/>
        <w:spacing w:before="80" w:after="40"/>
      </w:pPr>
      <w:r>
        <w:rPr>
          <w:rFonts w:ascii="Times New Roman" w:hAnsi="Times New Roman"/>
          <w:color w:val="000000"/>
          <w:sz w:val="28"/>
        </w:rPr>
        <w:t>2. Literature Survey</w:t>
      </w:r>
    </w:p>
    <w:p>
      <w:pPr>
        <w:pStyle w:val="Heading2"/>
        <w:spacing w:before="40" w:after="40"/>
      </w:pPr>
      <w:r>
        <w:rPr>
          <w:rFonts w:ascii="Times New Roman" w:hAnsi="Times New Roman"/>
          <w:color w:val="000000"/>
          <w:sz w:val="26"/>
        </w:rPr>
        <w:t>AI in Engineering Design</w:t>
      </w:r>
    </w:p>
    <w:p>
      <w:pPr>
        <w:spacing w:before="0" w:after="0" w:line="480" w:lineRule="auto"/>
        <w:ind w:firstLine="720"/>
        <w:jc w:val="both"/>
      </w:pPr>
      <w:r>
        <w:rPr>
          <w:rFonts w:ascii="Times New Roman" w:hAnsi="Times New Roman"/>
          <w:b w:val="0"/>
          <w:i w:val="0"/>
          <w:sz w:val="24"/>
        </w:rPr>
        <w:t>McKinsey &amp; Company (2024) reports that AI-powered design tools have demonstrated the capability to reduce design iteration time by up to 60% while simultaneously expanding the exploration of feasible design spaces. Regenwetter et al. (2022) provide a comprehensive review of deep generative models in engineering design, highlighting both opportunities and challenges in ensuring generated designs meet engineering constraints.</w:t>
      </w:r>
    </w:p>
    <w:p>
      <w:pPr>
        <w:pStyle w:val="Heading2"/>
        <w:spacing w:before="40" w:after="40"/>
      </w:pPr>
      <w:r>
        <w:rPr>
          <w:rFonts w:ascii="Times New Roman" w:hAnsi="Times New Roman"/>
          <w:color w:val="000000"/>
          <w:sz w:val="26"/>
        </w:rPr>
        <w:t>Generative Models for CAD</w:t>
      </w:r>
    </w:p>
    <w:p>
      <w:pPr>
        <w:spacing w:before="0" w:after="0" w:line="480" w:lineRule="auto"/>
        <w:ind w:firstLine="720"/>
        <w:jc w:val="both"/>
      </w:pPr>
      <w:r>
        <w:rPr>
          <w:rFonts w:ascii="Times New Roman" w:hAnsi="Times New Roman"/>
          <w:b w:val="0"/>
          <w:i w:val="0"/>
          <w:sz w:val="24"/>
        </w:rPr>
        <w:t>Recent advances in generative AI for CAD include latent diffusion models for high-resolution image synthesis (Rombach et al., 2022), which form the foundation for many AI design tools. Jayaraman et al. (2023) developed SolidGen for autoregressive boundary representation synthesis, while Wu et al. (2023) explored large language models for CAD generation. Casey et al. (2025) address the challenge of aligning constraint generation with design intent in CAD systems.</w:t>
      </w:r>
    </w:p>
    <w:p>
      <w:pPr>
        <w:pStyle w:val="Heading2"/>
        <w:spacing w:before="40" w:after="40"/>
      </w:pPr>
      <w:r>
        <w:rPr>
          <w:rFonts w:ascii="Times New Roman" w:hAnsi="Times New Roman"/>
          <w:color w:val="000000"/>
          <w:sz w:val="26"/>
        </w:rPr>
        <w:t>Automotive Wheel Design and Validation</w:t>
      </w:r>
    </w:p>
    <w:p>
      <w:pPr>
        <w:spacing w:before="0" w:after="0" w:line="480" w:lineRule="auto"/>
        <w:ind w:firstLine="720"/>
        <w:jc w:val="both"/>
      </w:pPr>
      <w:r>
        <w:rPr>
          <w:rFonts w:ascii="Times New Roman" w:hAnsi="Times New Roman"/>
          <w:b w:val="0"/>
          <w:i w:val="0"/>
          <w:sz w:val="24"/>
        </w:rPr>
        <w:t>Parametric CAD methods have long been established for automotive component design using constraint-based approaches (Bodein et al., 2013). More recently, Kim et al. (2021) demonstrated automotive wheel design optimization using topology optimization and machine learning, achieving significant weight reduction while maintaining structural performance. Beta CAE Systems (2023) established validation methodologies for modal analysis of automotive wheel rims, specifying that wheels for light commercial vehicles should achieve first natural frequencies above 350 Hz to avoid undesirable interior noise amplification. Industry standards governing wheel validation include ISO 7141:2022 (lateral impact test) and SAE J175:2020 (impact test procedures).</w:t>
      </w:r>
    </w:p>
    <w:p>
      <w:pPr>
        <w:pStyle w:val="Heading2"/>
        <w:spacing w:before="40" w:after="40"/>
      </w:pPr>
      <w:r>
        <w:rPr>
          <w:rFonts w:ascii="Times New Roman" w:hAnsi="Times New Roman"/>
          <w:color w:val="000000"/>
          <w:sz w:val="26"/>
        </w:rPr>
        <w:t>Validation Frameworks, ML, and Statistical Methods</w:t>
      </w:r>
    </w:p>
    <w:p>
      <w:pPr>
        <w:spacing w:before="0" w:after="0" w:line="480" w:lineRule="auto"/>
        <w:ind w:firstLine="720"/>
        <w:jc w:val="both"/>
      </w:pPr>
      <w:r>
        <w:rPr>
          <w:rFonts w:ascii="Times New Roman" w:hAnsi="Times New Roman"/>
          <w:b w:val="0"/>
          <w:i w:val="0"/>
          <w:sz w:val="24"/>
        </w:rPr>
        <w:t>Li &amp; Wang (2023) identify the critical need for validation frameworks for AI-generated engineering artifacts, noting that current approaches rely heavily on manual expert review. Baek &amp; Lee (2020) review machine learning approaches for mechanical design optimization, while Chen et al. (2023) provide a comprehensive overview of deep learning applications in CAD, emphasizing feature importance analysis. Statistical foundations include the Matthews Correlation Coefficient (MCC) advantages over F1 for imbalanced data (Chicco &amp; Jurman, 2020), bias correction in Random Forest importance (Strobl et al., 2007), and the Events Per Variable (EPV) rule for logistic regression (Peduzzi et al., 1996).</w:t>
      </w:r>
    </w:p>
    <w:p>
      <w:pPr>
        <w:pStyle w:val="Heading2"/>
        <w:spacing w:before="40" w:after="40"/>
      </w:pPr>
      <w:r>
        <w:rPr>
          <w:rFonts w:ascii="Times New Roman" w:hAnsi="Times New Roman"/>
          <w:color w:val="000000"/>
          <w:sz w:val="26"/>
        </w:rPr>
        <w:t>Research Gap</w:t>
      </w:r>
    </w:p>
    <w:p>
      <w:pPr>
        <w:spacing w:before="0" w:after="0" w:line="480" w:lineRule="auto"/>
        <w:ind w:firstLine="720"/>
        <w:jc w:val="both"/>
      </w:pPr>
      <w:r>
        <w:rPr>
          <w:rFonts w:ascii="Times New Roman" w:hAnsi="Times New Roman"/>
          <w:b w:val="0"/>
          <w:i w:val="0"/>
          <w:sz w:val="24"/>
        </w:rPr>
        <w:t>While significant progress has been made in generative AI for engineering design, a critical gap exists in systematic validation of AI-generated geometries against quantifiable engineering constraints. Current approaches lack: (1) standardized parametric validation frameworks, (2) empirical analysis of failure rates in AI-generated designs, (3) predictive models for pre-screening generated artifacts, and (4) characterization of design patterns distinguishing valid from invalid geometries. This capstone project addresses these gaps.</w:t>
      </w:r>
    </w:p>
    <w:p>
      <w:pPr>
        <w:pStyle w:val="Heading1"/>
        <w:spacing w:before="80" w:after="40"/>
      </w:pPr>
      <w:r>
        <w:rPr>
          <w:rFonts w:ascii="Times New Roman" w:hAnsi="Times New Roman"/>
          <w:color w:val="000000"/>
          <w:sz w:val="28"/>
        </w:rPr>
        <w:t>3. Data Description</w:t>
      </w:r>
    </w:p>
    <w:p>
      <w:pPr>
        <w:spacing w:before="0" w:after="0" w:line="480" w:lineRule="auto"/>
        <w:ind w:firstLine="720"/>
        <w:jc w:val="both"/>
      </w:pPr>
      <w:r>
        <w:rPr>
          <w:rFonts w:ascii="Times New Roman" w:hAnsi="Times New Roman"/>
          <w:b w:val="0"/>
          <w:i w:val="0"/>
          <w:sz w:val="24"/>
        </w:rPr>
        <w:t>The primary dataset is the DeepWheel Synthetic Wheel Dataset (Yoo &amp; Kang, 2025), sourced from SmartDesignLab (https://www.smartdesignlab.org/datasets) under Creative Commons Attribution-NonCommercial 4.0 International (CC BY-NC 4.0) license.</w:t>
      </w:r>
    </w:p>
    <w:p>
      <w:pPr>
        <w:pStyle w:val="Heading2"/>
        <w:spacing w:before="40" w:after="40"/>
      </w:pPr>
      <w:r>
        <w:rPr>
          <w:rFonts w:ascii="Times New Roman" w:hAnsi="Times New Roman"/>
          <w:color w:val="000000"/>
          <w:sz w:val="26"/>
        </w:rPr>
        <w:t>DeepWheel Dataset Generation Pipeline</w:t>
      </w:r>
    </w:p>
    <w:p>
      <w:pPr>
        <w:spacing w:before="0" w:after="0" w:line="480" w:lineRule="auto"/>
        <w:ind w:firstLine="720"/>
        <w:jc w:val="both"/>
      </w:pPr>
      <w:r>
        <w:rPr>
          <w:rFonts w:ascii="Times New Roman" w:hAnsi="Times New Roman"/>
          <w:b w:val="0"/>
          <w:i w:val="0"/>
          <w:sz w:val="24"/>
        </w:rPr>
        <w:t>The DeepWheel dataset employs a sophisticated multi-stage generative pipeline comprising five distinct phases:</w:t>
      </w:r>
    </w:p>
    <w:p>
      <w:pPr>
        <w:spacing w:before="0" w:after="0" w:line="480" w:lineRule="auto"/>
        <w:ind w:firstLine="720"/>
        <w:jc w:val="both"/>
      </w:pPr>
      <w:r>
        <w:rPr>
          <w:rFonts w:ascii="Times New Roman" w:hAnsi="Times New Roman"/>
          <w:b/>
          <w:i w:val="0"/>
          <w:sz w:val="24"/>
        </w:rPr>
        <w:t xml:space="preserve">(1) Image Generation: </w:t>
      </w:r>
      <w:r>
        <w:rPr>
          <w:rFonts w:ascii="Times New Roman" w:hAnsi="Times New Roman"/>
          <w:b w:val="0"/>
          <w:i w:val="0"/>
          <w:sz w:val="24"/>
        </w:rPr>
        <w:t xml:space="preserve">Stable Diffusion models produce 2D photo-realistic wheel renderings from text prompts, generating over 6,000 unique wheel images. </w:t>
      </w:r>
      <w:r>
        <w:rPr>
          <w:rFonts w:ascii="Times New Roman" w:hAnsi="Times New Roman"/>
          <w:b/>
          <w:i w:val="0"/>
          <w:sz w:val="24"/>
        </w:rPr>
        <w:t xml:space="preserve">(2) Depth Estimation: </w:t>
      </w:r>
      <w:r>
        <w:rPr>
          <w:rFonts w:ascii="Times New Roman" w:hAnsi="Times New Roman"/>
          <w:b w:val="0"/>
          <w:i w:val="0"/>
          <w:sz w:val="24"/>
        </w:rPr>
        <w:t xml:space="preserve">Monocular depth estimation networks infer 2.5D depth maps from the rendered images. </w:t>
      </w:r>
      <w:r>
        <w:rPr>
          <w:rFonts w:ascii="Times New Roman" w:hAnsi="Times New Roman"/>
          <w:b/>
          <w:i w:val="0"/>
          <w:sz w:val="24"/>
        </w:rPr>
        <w:t xml:space="preserve">(3) 3D Reconstruction: </w:t>
      </w:r>
      <w:r>
        <w:rPr>
          <w:rFonts w:ascii="Times New Roman" w:hAnsi="Times New Roman"/>
          <w:b w:val="0"/>
          <w:i w:val="0"/>
          <w:sz w:val="24"/>
        </w:rPr>
        <w:t xml:space="preserve">Point cloud generation and mesh reconstruction convert depth maps into watertight 3D meshes suitable for engineering simulation. </w:t>
      </w:r>
      <w:r>
        <w:rPr>
          <w:rFonts w:ascii="Times New Roman" w:hAnsi="Times New Roman"/>
          <w:b/>
          <w:i w:val="0"/>
          <w:sz w:val="24"/>
        </w:rPr>
        <w:t xml:space="preserve">(4) Structural Simulation: </w:t>
      </w:r>
      <w:r>
        <w:rPr>
          <w:rFonts w:ascii="Times New Roman" w:hAnsi="Times New Roman"/>
          <w:b w:val="0"/>
          <w:i w:val="0"/>
          <w:sz w:val="24"/>
        </w:rPr>
        <w:t xml:space="preserve">FEA computes mass and modal frequencies (including Mode 7 and Mode 11 natural frequencies) for each reconstructed mesh. </w:t>
      </w:r>
      <w:r>
        <w:rPr>
          <w:rFonts w:ascii="Times New Roman" w:hAnsi="Times New Roman"/>
          <w:b/>
          <w:i w:val="0"/>
          <w:sz w:val="24"/>
        </w:rPr>
        <w:t xml:space="preserve">(5) Topology Optimization: </w:t>
      </w:r>
      <w:r>
        <w:rPr>
          <w:rFonts w:ascii="Times New Roman" w:hAnsi="Times New Roman"/>
          <w:b w:val="0"/>
          <w:i w:val="0"/>
          <w:sz w:val="24"/>
        </w:rPr>
        <w:t>Design space expansion through topology optimization yields the final dataset of 904 structurally analyzed wheel designs.</w:t>
      </w:r>
    </w:p>
    <w:p>
      <w:pPr>
        <w:spacing w:before="0" w:after="0" w:line="480" w:lineRule="auto"/>
        <w:ind w:firstLine="720"/>
        <w:jc w:val="both"/>
      </w:pPr>
      <w:r>
        <w:rPr>
          <w:rFonts w:ascii="Times New Roman" w:hAnsi="Times New Roman"/>
          <w:b w:val="0"/>
          <w:i w:val="0"/>
          <w:sz w:val="24"/>
        </w:rPr>
        <w:t>This pipeline produces wheels spanning diverse aesthetic styles while maintaining geometric consistency suitable for engineering analysis.</w:t>
      </w:r>
    </w:p>
    <w:p>
      <w:pPr>
        <w:pStyle w:val="Heading2"/>
        <w:spacing w:before="40" w:after="40"/>
      </w:pPr>
      <w:r>
        <w:rPr>
          <w:rFonts w:ascii="Times New Roman" w:hAnsi="Times New Roman"/>
          <w:color w:val="000000"/>
          <w:sz w:val="26"/>
        </w:rPr>
        <w:t>Data Dictionary</w:t>
      </w:r>
    </w:p>
    <w:p>
      <w:pPr>
        <w:spacing w:before="0" w:after="0" w:line="480" w:lineRule="auto"/>
        <w:ind w:firstLine="720"/>
        <w:jc w:val="both"/>
      </w:pPr>
      <w:r>
        <w:rPr>
          <w:rFonts w:ascii="Times New Roman" w:hAnsi="Times New Roman"/>
          <w:b w:val="0"/>
          <w:i w:val="0"/>
          <w:sz w:val="24"/>
        </w:rPr>
        <w:t>Table 3 presents the complete data dictionary for the DeepWheel dataset.</w:t>
      </w:r>
    </w:p>
    <w:p>
      <w:pPr>
        <w:spacing w:before="80" w:after="0" w:line="240" w:lineRule="auto"/>
      </w:pPr>
      <w:r>
        <w:rPr>
          <w:rFonts w:ascii="Times New Roman" w:hAnsi="Times New Roman"/>
          <w:b/>
          <w:i/>
          <w:sz w:val="22"/>
        </w:rPr>
        <w:t>Table 3</w:t>
      </w:r>
    </w:p>
    <w:p>
      <w:pPr>
        <w:spacing w:before="0" w:after="40" w:line="240" w:lineRule="auto"/>
      </w:pPr>
      <w:r>
        <w:rPr>
          <w:rFonts w:ascii="Times New Roman" w:hAnsi="Times New Roman"/>
          <w:i/>
          <w:sz w:val="22"/>
        </w:rPr>
        <w:t>Data Dictionary for the DeepWheel Dataset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jc w:val="center"/>
            </w:pPr>
            <w:r>
              <w:rPr>
                <w:rFonts w:ascii="Times New Roman" w:hAnsi="Times New Roman"/>
                <w:b/>
                <w:sz w:val="20"/>
              </w:rPr>
              <w:t>Field Name</w:t>
            </w:r>
          </w:p>
        </w:tc>
        <w:tc>
          <w:tcPr>
            <w:tcW w:type="dxa" w:w="2340"/>
            <w:shd w:fill="D9E2F3"/>
          </w:tcPr>
          <w:p>
            <w:pPr>
              <w:jc w:val="center"/>
            </w:pPr>
            <w:r>
              <w:rPr>
                <w:rFonts w:ascii="Times New Roman" w:hAnsi="Times New Roman"/>
                <w:b/>
                <w:sz w:val="20"/>
              </w:rPr>
              <w:t>Type</w:t>
            </w:r>
          </w:p>
        </w:tc>
        <w:tc>
          <w:tcPr>
            <w:tcW w:type="dxa" w:w="2340"/>
            <w:shd w:fill="D9E2F3"/>
          </w:tcPr>
          <w:p>
            <w:pPr>
              <w:jc w:val="center"/>
            </w:pPr>
            <w:r>
              <w:rPr>
                <w:rFonts w:ascii="Times New Roman" w:hAnsi="Times New Roman"/>
                <w:b/>
                <w:sz w:val="20"/>
              </w:rPr>
              <w:t>Description</w:t>
            </w:r>
          </w:p>
        </w:tc>
        <w:tc>
          <w:tcPr>
            <w:tcW w:type="dxa" w:w="2340"/>
            <w:shd w:fill="D9E2F3"/>
          </w:tcPr>
          <w:p>
            <w:pPr>
              <w:jc w:val="center"/>
            </w:pPr>
            <w:r>
              <w:rPr>
                <w:rFonts w:ascii="Times New Roman" w:hAnsi="Times New Roman"/>
                <w:b/>
                <w:sz w:val="20"/>
              </w:rPr>
              <w:t>Range/Values</w:t>
            </w:r>
          </w:p>
        </w:tc>
      </w:tr>
      <w:tr>
        <w:tc>
          <w:tcPr>
            <w:tcW w:type="dxa" w:w="2340"/>
          </w:tcPr>
          <w:p>
            <w:pPr>
              <w:jc w:val="center"/>
            </w:pPr>
            <w:r>
              <w:rPr>
                <w:rFonts w:ascii="Times New Roman" w:hAnsi="Times New Roman"/>
                <w:sz w:val="20"/>
              </w:rPr>
              <w:t>file_name</w:t>
            </w:r>
          </w:p>
        </w:tc>
        <w:tc>
          <w:tcPr>
            <w:tcW w:type="dxa" w:w="2340"/>
          </w:tcPr>
          <w:p>
            <w:pPr>
              <w:jc w:val="center"/>
            </w:pPr>
            <w:r>
              <w:rPr>
                <w:rFonts w:ascii="Times New Roman" w:hAnsi="Times New Roman"/>
                <w:sz w:val="20"/>
              </w:rPr>
              <w:t>String</w:t>
            </w:r>
          </w:p>
        </w:tc>
        <w:tc>
          <w:tcPr>
            <w:tcW w:type="dxa" w:w="2340"/>
          </w:tcPr>
          <w:p>
            <w:pPr>
              <w:jc w:val="center"/>
            </w:pPr>
            <w:r>
              <w:rPr>
                <w:rFonts w:ascii="Times New Roman" w:hAnsi="Times New Roman"/>
                <w:sz w:val="20"/>
              </w:rPr>
              <w:t>Unique wheel mesh identifier</w:t>
            </w:r>
          </w:p>
        </w:tc>
        <w:tc>
          <w:tcPr>
            <w:tcW w:type="dxa" w:w="2340"/>
          </w:tcPr>
          <w:p>
            <w:pPr>
              <w:jc w:val="center"/>
            </w:pPr>
            <w:r>
              <w:rPr>
                <w:rFonts w:ascii="Times New Roman" w:hAnsi="Times New Roman"/>
                <w:sz w:val="20"/>
              </w:rPr>
              <w:t>e.g., kappa_0766_3</w:t>
            </w:r>
          </w:p>
        </w:tc>
      </w:tr>
      <w:tr>
        <w:tc>
          <w:tcPr>
            <w:tcW w:type="dxa" w:w="2340"/>
          </w:tcPr>
          <w:p>
            <w:pPr>
              <w:jc w:val="center"/>
            </w:pPr>
            <w:r>
              <w:rPr>
                <w:rFonts w:ascii="Times New Roman" w:hAnsi="Times New Roman"/>
                <w:sz w:val="20"/>
              </w:rPr>
              <w:t>Mass</w:t>
            </w:r>
          </w:p>
        </w:tc>
        <w:tc>
          <w:tcPr>
            <w:tcW w:type="dxa" w:w="2340"/>
          </w:tcPr>
          <w:p>
            <w:pPr>
              <w:jc w:val="center"/>
            </w:pPr>
            <w:r>
              <w:rPr>
                <w:rFonts w:ascii="Times New Roman" w:hAnsi="Times New Roman"/>
                <w:sz w:val="20"/>
              </w:rPr>
              <w:t>Float</w:t>
            </w:r>
          </w:p>
        </w:tc>
        <w:tc>
          <w:tcPr>
            <w:tcW w:type="dxa" w:w="2340"/>
          </w:tcPr>
          <w:p>
            <w:pPr>
              <w:jc w:val="center"/>
            </w:pPr>
            <w:r>
              <w:rPr>
                <w:rFonts w:ascii="Times New Roman" w:hAnsi="Times New Roman"/>
                <w:sz w:val="20"/>
              </w:rPr>
              <w:t>Total wheel mass from FEA (kg)</w:t>
            </w:r>
          </w:p>
        </w:tc>
        <w:tc>
          <w:tcPr>
            <w:tcW w:type="dxa" w:w="2340"/>
          </w:tcPr>
          <w:p>
            <w:pPr>
              <w:jc w:val="center"/>
            </w:pPr>
            <w:r>
              <w:rPr>
                <w:rFonts w:ascii="Times New Roman" w:hAnsi="Times New Roman"/>
                <w:sz w:val="20"/>
              </w:rPr>
              <w:t>17.6 – 24.1</w:t>
            </w:r>
          </w:p>
        </w:tc>
      </w:tr>
      <w:tr>
        <w:tc>
          <w:tcPr>
            <w:tcW w:type="dxa" w:w="2340"/>
          </w:tcPr>
          <w:p>
            <w:pPr>
              <w:jc w:val="center"/>
            </w:pPr>
            <w:r>
              <w:rPr>
                <w:rFonts w:ascii="Times New Roman" w:hAnsi="Times New Roman"/>
                <w:sz w:val="20"/>
              </w:rPr>
              <w:t>Mode7_Freq</w:t>
            </w:r>
          </w:p>
        </w:tc>
        <w:tc>
          <w:tcPr>
            <w:tcW w:type="dxa" w:w="2340"/>
          </w:tcPr>
          <w:p>
            <w:pPr>
              <w:jc w:val="center"/>
            </w:pPr>
            <w:r>
              <w:rPr>
                <w:rFonts w:ascii="Times New Roman" w:hAnsi="Times New Roman"/>
                <w:sz w:val="20"/>
              </w:rPr>
              <w:t>Float</w:t>
            </w:r>
          </w:p>
        </w:tc>
        <w:tc>
          <w:tcPr>
            <w:tcW w:type="dxa" w:w="2340"/>
          </w:tcPr>
          <w:p>
            <w:pPr>
              <w:jc w:val="center"/>
            </w:pPr>
            <w:r>
              <w:rPr>
                <w:rFonts w:ascii="Times New Roman" w:hAnsi="Times New Roman"/>
                <w:sz w:val="20"/>
              </w:rPr>
              <w:t>7th natural frequency, in-plane bending (Hz)</w:t>
            </w:r>
          </w:p>
        </w:tc>
        <w:tc>
          <w:tcPr>
            <w:tcW w:type="dxa" w:w="2340"/>
          </w:tcPr>
          <w:p>
            <w:pPr>
              <w:jc w:val="center"/>
            </w:pPr>
            <w:r>
              <w:rPr>
                <w:rFonts w:ascii="Times New Roman" w:hAnsi="Times New Roman"/>
                <w:sz w:val="20"/>
              </w:rPr>
              <w:t>365 – 480</w:t>
            </w:r>
          </w:p>
        </w:tc>
      </w:tr>
      <w:tr>
        <w:tc>
          <w:tcPr>
            <w:tcW w:type="dxa" w:w="2340"/>
          </w:tcPr>
          <w:p>
            <w:pPr>
              <w:jc w:val="center"/>
            </w:pPr>
            <w:r>
              <w:rPr>
                <w:rFonts w:ascii="Times New Roman" w:hAnsi="Times New Roman"/>
                <w:sz w:val="20"/>
              </w:rPr>
              <w:t>Mode11_Freq</w:t>
            </w:r>
          </w:p>
        </w:tc>
        <w:tc>
          <w:tcPr>
            <w:tcW w:type="dxa" w:w="2340"/>
          </w:tcPr>
          <w:p>
            <w:pPr>
              <w:jc w:val="center"/>
            </w:pPr>
            <w:r>
              <w:rPr>
                <w:rFonts w:ascii="Times New Roman" w:hAnsi="Times New Roman"/>
                <w:sz w:val="20"/>
              </w:rPr>
              <w:t>Float</w:t>
            </w:r>
          </w:p>
        </w:tc>
        <w:tc>
          <w:tcPr>
            <w:tcW w:type="dxa" w:w="2340"/>
          </w:tcPr>
          <w:p>
            <w:pPr>
              <w:jc w:val="center"/>
            </w:pPr>
            <w:r>
              <w:rPr>
                <w:rFonts w:ascii="Times New Roman" w:hAnsi="Times New Roman"/>
                <w:sz w:val="20"/>
              </w:rPr>
              <w:t>11th natural frequency, higher-order (Hz)</w:t>
            </w:r>
          </w:p>
        </w:tc>
        <w:tc>
          <w:tcPr>
            <w:tcW w:type="dxa" w:w="2340"/>
          </w:tcPr>
          <w:p>
            <w:pPr>
              <w:jc w:val="center"/>
            </w:pPr>
            <w:r>
              <w:rPr>
                <w:rFonts w:ascii="Times New Roman" w:hAnsi="Times New Roman"/>
                <w:sz w:val="20"/>
              </w:rPr>
              <w:t>910 – 1520</w:t>
            </w:r>
          </w:p>
        </w:tc>
      </w:tr>
      <w:tr>
        <w:tc>
          <w:tcPr>
            <w:tcW w:type="dxa" w:w="2340"/>
          </w:tcPr>
          <w:p>
            <w:pPr>
              <w:jc w:val="center"/>
            </w:pPr>
            <w:r>
              <w:rPr>
                <w:rFonts w:ascii="Times New Roman" w:hAnsi="Times New Roman"/>
                <w:sz w:val="20"/>
              </w:rPr>
              <w:t>stiffness_ratio</w:t>
            </w:r>
          </w:p>
        </w:tc>
        <w:tc>
          <w:tcPr>
            <w:tcW w:type="dxa" w:w="2340"/>
          </w:tcPr>
          <w:p>
            <w:pPr>
              <w:jc w:val="center"/>
            </w:pPr>
            <w:r>
              <w:rPr>
                <w:rFonts w:ascii="Times New Roman" w:hAnsi="Times New Roman"/>
                <w:sz w:val="20"/>
              </w:rPr>
              <w:t>Float</w:t>
            </w:r>
          </w:p>
        </w:tc>
        <w:tc>
          <w:tcPr>
            <w:tcW w:type="dxa" w:w="2340"/>
          </w:tcPr>
          <w:p>
            <w:pPr>
              <w:jc w:val="center"/>
            </w:pPr>
            <w:r>
              <w:rPr>
                <w:rFonts w:ascii="Times New Roman" w:hAnsi="Times New Roman"/>
                <w:sz w:val="20"/>
              </w:rPr>
              <w:t>Mode11_Freq / Mode7_Freq</w:t>
            </w:r>
          </w:p>
        </w:tc>
        <w:tc>
          <w:tcPr>
            <w:tcW w:type="dxa" w:w="2340"/>
          </w:tcPr>
          <w:p>
            <w:pPr>
              <w:jc w:val="center"/>
            </w:pPr>
            <w:r>
              <w:rPr>
                <w:rFonts w:ascii="Times New Roman" w:hAnsi="Times New Roman"/>
                <w:sz w:val="20"/>
              </w:rPr>
              <w:t>2.5 – 3.5</w:t>
            </w:r>
          </w:p>
        </w:tc>
      </w:tr>
      <w:tr>
        <w:tc>
          <w:tcPr>
            <w:tcW w:type="dxa" w:w="2340"/>
          </w:tcPr>
          <w:p>
            <w:pPr>
              <w:jc w:val="center"/>
            </w:pPr>
            <w:r>
              <w:rPr>
                <w:rFonts w:ascii="Times New Roman" w:hAnsi="Times New Roman"/>
                <w:sz w:val="20"/>
              </w:rPr>
              <w:t>mass_efficiency</w:t>
            </w:r>
          </w:p>
        </w:tc>
        <w:tc>
          <w:tcPr>
            <w:tcW w:type="dxa" w:w="2340"/>
          </w:tcPr>
          <w:p>
            <w:pPr>
              <w:jc w:val="center"/>
            </w:pPr>
            <w:r>
              <w:rPr>
                <w:rFonts w:ascii="Times New Roman" w:hAnsi="Times New Roman"/>
                <w:sz w:val="20"/>
              </w:rPr>
              <w:t>Float</w:t>
            </w:r>
          </w:p>
        </w:tc>
        <w:tc>
          <w:tcPr>
            <w:tcW w:type="dxa" w:w="2340"/>
          </w:tcPr>
          <w:p>
            <w:pPr>
              <w:jc w:val="center"/>
            </w:pPr>
            <w:r>
              <w:rPr>
                <w:rFonts w:ascii="Times New Roman" w:hAnsi="Times New Roman"/>
                <w:sz w:val="20"/>
              </w:rPr>
              <w:t>Mean frequency per unit mass (Hz/kg)</w:t>
            </w:r>
          </w:p>
        </w:tc>
        <w:tc>
          <w:tcPr>
            <w:tcW w:type="dxa" w:w="2340"/>
          </w:tcPr>
          <w:p>
            <w:pPr>
              <w:jc w:val="center"/>
            </w:pPr>
            <w:r>
              <w:rPr>
                <w:rFonts w:ascii="Times New Roman" w:hAnsi="Times New Roman"/>
                <w:sz w:val="20"/>
              </w:rPr>
              <w:t>32.3 – 43.3</w:t>
            </w:r>
          </w:p>
        </w:tc>
      </w:tr>
      <w:tr>
        <w:tc>
          <w:tcPr>
            <w:tcW w:type="dxa" w:w="2340"/>
          </w:tcPr>
          <w:p>
            <w:pPr>
              <w:jc w:val="center"/>
            </w:pPr>
            <w:r>
              <w:rPr>
                <w:rFonts w:ascii="Times New Roman" w:hAnsi="Times New Roman"/>
                <w:sz w:val="20"/>
              </w:rPr>
              <w:t>validation_outcome</w:t>
            </w:r>
          </w:p>
        </w:tc>
        <w:tc>
          <w:tcPr>
            <w:tcW w:type="dxa" w:w="2340"/>
          </w:tcPr>
          <w:p>
            <w:pPr>
              <w:jc w:val="center"/>
            </w:pPr>
            <w:r>
              <w:rPr>
                <w:rFonts w:ascii="Times New Roman" w:hAnsi="Times New Roman"/>
                <w:sz w:val="20"/>
              </w:rPr>
              <w:t>Binary</w:t>
            </w:r>
          </w:p>
        </w:tc>
        <w:tc>
          <w:tcPr>
            <w:tcW w:type="dxa" w:w="2340"/>
          </w:tcPr>
          <w:p>
            <w:pPr>
              <w:jc w:val="center"/>
            </w:pPr>
            <w:r>
              <w:rPr>
                <w:rFonts w:ascii="Times New Roman" w:hAnsi="Times New Roman"/>
                <w:sz w:val="20"/>
              </w:rPr>
              <w:t>All constraints pass (1) or fail (0)</w:t>
            </w:r>
          </w:p>
        </w:tc>
        <w:tc>
          <w:tcPr>
            <w:tcW w:type="dxa" w:w="2340"/>
          </w:tcPr>
          <w:p>
            <w:pPr>
              <w:jc w:val="center"/>
            </w:pPr>
            <w:r>
              <w:rPr>
                <w:rFonts w:ascii="Times New Roman" w:hAnsi="Times New Roman"/>
                <w:sz w:val="20"/>
              </w:rPr>
              <w:t>0 / 1</w:t>
            </w:r>
          </w:p>
        </w:tc>
      </w:tr>
    </w:tbl>
    <w:p>
      <w:pPr>
        <w:pStyle w:val="Heading2"/>
        <w:spacing w:before="40" w:after="40"/>
      </w:pPr>
      <w:r>
        <w:rPr>
          <w:rFonts w:ascii="Times New Roman" w:hAnsi="Times New Roman"/>
          <w:color w:val="000000"/>
          <w:sz w:val="26"/>
        </w:rPr>
        <w:t>Sample Data Records</w:t>
      </w:r>
    </w:p>
    <w:p>
      <w:pPr>
        <w:spacing w:before="0" w:after="0" w:line="480" w:lineRule="auto"/>
        <w:ind w:firstLine="720"/>
        <w:jc w:val="both"/>
      </w:pPr>
      <w:r>
        <w:rPr>
          <w:rFonts w:ascii="Times New Roman" w:hAnsi="Times New Roman"/>
          <w:b w:val="0"/>
          <w:i w:val="0"/>
          <w:sz w:val="24"/>
        </w:rPr>
        <w:t>Table 4 presents sample records from the dataset to illustrate the data structure.</w:t>
      </w:r>
    </w:p>
    <w:p>
      <w:pPr>
        <w:spacing w:before="80" w:after="0" w:line="240" w:lineRule="auto"/>
      </w:pPr>
      <w:r>
        <w:rPr>
          <w:rFonts w:ascii="Times New Roman" w:hAnsi="Times New Roman"/>
          <w:b/>
          <w:i/>
          <w:sz w:val="22"/>
        </w:rPr>
        <w:t>Table 4</w:t>
      </w:r>
    </w:p>
    <w:p>
      <w:pPr>
        <w:spacing w:before="0" w:after="40" w:line="240" w:lineRule="auto"/>
      </w:pPr>
      <w:r>
        <w:rPr>
          <w:rFonts w:ascii="Times New Roman" w:hAnsi="Times New Roman"/>
          <w:i/>
          <w:sz w:val="22"/>
        </w:rPr>
        <w:t>Sample Data Records from the DeepWheel Dataset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jc w:val="center"/>
            </w:pPr>
            <w:r>
              <w:rPr>
                <w:rFonts w:ascii="Times New Roman" w:hAnsi="Times New Roman"/>
                <w:b/>
                <w:sz w:val="20"/>
              </w:rPr>
              <w:t>file_name</w:t>
            </w:r>
          </w:p>
        </w:tc>
        <w:tc>
          <w:tcPr>
            <w:tcW w:type="dxa" w:w="1872"/>
            <w:shd w:fill="D9E2F3"/>
          </w:tcPr>
          <w:p>
            <w:pPr>
              <w:jc w:val="center"/>
            </w:pPr>
            <w:r>
              <w:rPr>
                <w:rFonts w:ascii="Times New Roman" w:hAnsi="Times New Roman"/>
                <w:b/>
                <w:sz w:val="20"/>
              </w:rPr>
              <w:t>Mass (kg)</w:t>
            </w:r>
          </w:p>
        </w:tc>
        <w:tc>
          <w:tcPr>
            <w:tcW w:type="dxa" w:w="1872"/>
            <w:shd w:fill="D9E2F3"/>
          </w:tcPr>
          <w:p>
            <w:pPr>
              <w:jc w:val="center"/>
            </w:pPr>
            <w:r>
              <w:rPr>
                <w:rFonts w:ascii="Times New Roman" w:hAnsi="Times New Roman"/>
                <w:b/>
                <w:sz w:val="20"/>
              </w:rPr>
              <w:t>Mode7 Freq (Hz)</w:t>
            </w:r>
          </w:p>
        </w:tc>
        <w:tc>
          <w:tcPr>
            <w:tcW w:type="dxa" w:w="1872"/>
            <w:shd w:fill="D9E2F3"/>
          </w:tcPr>
          <w:p>
            <w:pPr>
              <w:jc w:val="center"/>
            </w:pPr>
            <w:r>
              <w:rPr>
                <w:rFonts w:ascii="Times New Roman" w:hAnsi="Times New Roman"/>
                <w:b/>
                <w:sz w:val="20"/>
              </w:rPr>
              <w:t>Mode11 Freq (Hz)</w:t>
            </w:r>
          </w:p>
        </w:tc>
        <w:tc>
          <w:tcPr>
            <w:tcW w:type="dxa" w:w="1872"/>
            <w:shd w:fill="D9E2F3"/>
          </w:tcPr>
          <w:p>
            <w:pPr>
              <w:jc w:val="center"/>
            </w:pPr>
            <w:r>
              <w:rPr>
                <w:rFonts w:ascii="Times New Roman" w:hAnsi="Times New Roman"/>
                <w:b/>
                <w:sz w:val="20"/>
              </w:rPr>
              <w:t>Validation</w:t>
            </w:r>
          </w:p>
        </w:tc>
      </w:tr>
      <w:tr>
        <w:tc>
          <w:tcPr>
            <w:tcW w:type="dxa" w:w="1872"/>
          </w:tcPr>
          <w:p>
            <w:pPr>
              <w:jc w:val="center"/>
            </w:pPr>
            <w:r>
              <w:rPr>
                <w:rFonts w:ascii="Times New Roman" w:hAnsi="Times New Roman"/>
                <w:sz w:val="20"/>
              </w:rPr>
              <w:t>kappa_0766_3</w:t>
            </w:r>
          </w:p>
        </w:tc>
        <w:tc>
          <w:tcPr>
            <w:tcW w:type="dxa" w:w="1872"/>
          </w:tcPr>
          <w:p>
            <w:pPr>
              <w:jc w:val="center"/>
            </w:pPr>
            <w:r>
              <w:rPr>
                <w:rFonts w:ascii="Times New Roman" w:hAnsi="Times New Roman"/>
                <w:sz w:val="20"/>
              </w:rPr>
              <w:t>21.019</w:t>
            </w:r>
          </w:p>
        </w:tc>
        <w:tc>
          <w:tcPr>
            <w:tcW w:type="dxa" w:w="1872"/>
          </w:tcPr>
          <w:p>
            <w:pPr>
              <w:jc w:val="center"/>
            </w:pPr>
            <w:r>
              <w:rPr>
                <w:rFonts w:ascii="Times New Roman" w:hAnsi="Times New Roman"/>
                <w:sz w:val="20"/>
              </w:rPr>
              <w:t>421.68</w:t>
            </w:r>
          </w:p>
        </w:tc>
        <w:tc>
          <w:tcPr>
            <w:tcW w:type="dxa" w:w="1872"/>
          </w:tcPr>
          <w:p>
            <w:pPr>
              <w:jc w:val="center"/>
            </w:pPr>
            <w:r>
              <w:rPr>
                <w:rFonts w:ascii="Times New Roman" w:hAnsi="Times New Roman"/>
                <w:sz w:val="20"/>
              </w:rPr>
              <w:t>1229.58</w:t>
            </w:r>
          </w:p>
        </w:tc>
        <w:tc>
          <w:tcPr>
            <w:tcW w:type="dxa" w:w="1872"/>
          </w:tcPr>
          <w:p>
            <w:pPr>
              <w:jc w:val="center"/>
            </w:pPr>
            <w:r>
              <w:rPr>
                <w:rFonts w:ascii="Times New Roman" w:hAnsi="Times New Roman"/>
                <w:sz w:val="20"/>
              </w:rPr>
              <w:t>PASS</w:t>
            </w:r>
          </w:p>
        </w:tc>
      </w:tr>
      <w:tr>
        <w:tc>
          <w:tcPr>
            <w:tcW w:type="dxa" w:w="1872"/>
          </w:tcPr>
          <w:p>
            <w:pPr>
              <w:jc w:val="center"/>
            </w:pPr>
            <w:r>
              <w:rPr>
                <w:rFonts w:ascii="Times New Roman" w:hAnsi="Times New Roman"/>
                <w:sz w:val="20"/>
              </w:rPr>
              <w:t>alpha_0056_2</w:t>
            </w:r>
          </w:p>
        </w:tc>
        <w:tc>
          <w:tcPr>
            <w:tcW w:type="dxa" w:w="1872"/>
          </w:tcPr>
          <w:p>
            <w:pPr>
              <w:jc w:val="center"/>
            </w:pPr>
            <w:r>
              <w:rPr>
                <w:rFonts w:ascii="Times New Roman" w:hAnsi="Times New Roman"/>
                <w:sz w:val="20"/>
              </w:rPr>
              <w:t>22.949</w:t>
            </w:r>
          </w:p>
        </w:tc>
        <w:tc>
          <w:tcPr>
            <w:tcW w:type="dxa" w:w="1872"/>
          </w:tcPr>
          <w:p>
            <w:pPr>
              <w:jc w:val="center"/>
            </w:pPr>
            <w:r>
              <w:rPr>
                <w:rFonts w:ascii="Times New Roman" w:hAnsi="Times New Roman"/>
                <w:sz w:val="20"/>
              </w:rPr>
              <w:t>472.94</w:t>
            </w:r>
          </w:p>
        </w:tc>
        <w:tc>
          <w:tcPr>
            <w:tcW w:type="dxa" w:w="1872"/>
          </w:tcPr>
          <w:p>
            <w:pPr>
              <w:jc w:val="center"/>
            </w:pPr>
            <w:r>
              <w:rPr>
                <w:rFonts w:ascii="Times New Roman" w:hAnsi="Times New Roman"/>
                <w:sz w:val="20"/>
              </w:rPr>
              <w:t>1512.94</w:t>
            </w:r>
          </w:p>
        </w:tc>
        <w:tc>
          <w:tcPr>
            <w:tcW w:type="dxa" w:w="1872"/>
          </w:tcPr>
          <w:p>
            <w:pPr>
              <w:jc w:val="center"/>
            </w:pPr>
            <w:r>
              <w:rPr>
                <w:rFonts w:ascii="Times New Roman" w:hAnsi="Times New Roman"/>
                <w:sz w:val="20"/>
              </w:rPr>
              <w:t>FAIL</w:t>
            </w:r>
          </w:p>
        </w:tc>
      </w:tr>
      <w:tr>
        <w:tc>
          <w:tcPr>
            <w:tcW w:type="dxa" w:w="1872"/>
          </w:tcPr>
          <w:p>
            <w:pPr>
              <w:jc w:val="center"/>
            </w:pPr>
            <w:r>
              <w:rPr>
                <w:rFonts w:ascii="Times New Roman" w:hAnsi="Times New Roman"/>
                <w:sz w:val="20"/>
              </w:rPr>
              <w:t>lambda_0087_0</w:t>
            </w:r>
          </w:p>
        </w:tc>
        <w:tc>
          <w:tcPr>
            <w:tcW w:type="dxa" w:w="1872"/>
          </w:tcPr>
          <w:p>
            <w:pPr>
              <w:jc w:val="center"/>
            </w:pPr>
            <w:r>
              <w:rPr>
                <w:rFonts w:ascii="Times New Roman" w:hAnsi="Times New Roman"/>
                <w:sz w:val="20"/>
              </w:rPr>
              <w:t>23.269</w:t>
            </w:r>
          </w:p>
        </w:tc>
        <w:tc>
          <w:tcPr>
            <w:tcW w:type="dxa" w:w="1872"/>
          </w:tcPr>
          <w:p>
            <w:pPr>
              <w:jc w:val="center"/>
            </w:pPr>
            <w:r>
              <w:rPr>
                <w:rFonts w:ascii="Times New Roman" w:hAnsi="Times New Roman"/>
                <w:sz w:val="20"/>
              </w:rPr>
              <w:t>468.86</w:t>
            </w:r>
          </w:p>
        </w:tc>
        <w:tc>
          <w:tcPr>
            <w:tcW w:type="dxa" w:w="1872"/>
          </w:tcPr>
          <w:p>
            <w:pPr>
              <w:jc w:val="center"/>
            </w:pPr>
            <w:r>
              <w:rPr>
                <w:rFonts w:ascii="Times New Roman" w:hAnsi="Times New Roman"/>
                <w:sz w:val="20"/>
              </w:rPr>
              <w:t>1487.73</w:t>
            </w:r>
          </w:p>
        </w:tc>
        <w:tc>
          <w:tcPr>
            <w:tcW w:type="dxa" w:w="1872"/>
          </w:tcPr>
          <w:p>
            <w:pPr>
              <w:jc w:val="center"/>
            </w:pPr>
            <w:r>
              <w:rPr>
                <w:rFonts w:ascii="Times New Roman" w:hAnsi="Times New Roman"/>
                <w:sz w:val="20"/>
              </w:rPr>
              <w:t>FAIL</w:t>
            </w:r>
          </w:p>
        </w:tc>
      </w:tr>
      <w:tr>
        <w:tc>
          <w:tcPr>
            <w:tcW w:type="dxa" w:w="1872"/>
          </w:tcPr>
          <w:p>
            <w:pPr>
              <w:jc w:val="center"/>
            </w:pPr>
            <w:r>
              <w:rPr>
                <w:rFonts w:ascii="Times New Roman" w:hAnsi="Times New Roman"/>
                <w:sz w:val="20"/>
              </w:rPr>
              <w:t>beta_0114_1</w:t>
            </w:r>
          </w:p>
        </w:tc>
        <w:tc>
          <w:tcPr>
            <w:tcW w:type="dxa" w:w="1872"/>
          </w:tcPr>
          <w:p>
            <w:pPr>
              <w:jc w:val="center"/>
            </w:pPr>
            <w:r>
              <w:rPr>
                <w:rFonts w:ascii="Times New Roman" w:hAnsi="Times New Roman"/>
                <w:sz w:val="20"/>
              </w:rPr>
              <w:t>18.684</w:t>
            </w:r>
          </w:p>
        </w:tc>
        <w:tc>
          <w:tcPr>
            <w:tcW w:type="dxa" w:w="1872"/>
          </w:tcPr>
          <w:p>
            <w:pPr>
              <w:jc w:val="center"/>
            </w:pPr>
            <w:r>
              <w:rPr>
                <w:rFonts w:ascii="Times New Roman" w:hAnsi="Times New Roman"/>
                <w:sz w:val="20"/>
              </w:rPr>
              <w:t>383.65</w:t>
            </w:r>
          </w:p>
        </w:tc>
        <w:tc>
          <w:tcPr>
            <w:tcW w:type="dxa" w:w="1872"/>
          </w:tcPr>
          <w:p>
            <w:pPr>
              <w:jc w:val="center"/>
            </w:pPr>
            <w:r>
              <w:rPr>
                <w:rFonts w:ascii="Times New Roman" w:hAnsi="Times New Roman"/>
                <w:sz w:val="20"/>
              </w:rPr>
              <w:t>1011.19</w:t>
            </w:r>
          </w:p>
        </w:tc>
        <w:tc>
          <w:tcPr>
            <w:tcW w:type="dxa" w:w="1872"/>
          </w:tcPr>
          <w:p>
            <w:pPr>
              <w:jc w:val="center"/>
            </w:pPr>
            <w:r>
              <w:rPr>
                <w:rFonts w:ascii="Times New Roman" w:hAnsi="Times New Roman"/>
                <w:sz w:val="20"/>
              </w:rPr>
              <w:t>PASS</w:t>
            </w:r>
          </w:p>
        </w:tc>
      </w:tr>
      <w:tr>
        <w:tc>
          <w:tcPr>
            <w:tcW w:type="dxa" w:w="1872"/>
          </w:tcPr>
          <w:p>
            <w:pPr>
              <w:jc w:val="center"/>
            </w:pPr>
            <w:r>
              <w:rPr>
                <w:rFonts w:ascii="Times New Roman" w:hAnsi="Times New Roman"/>
                <w:sz w:val="20"/>
              </w:rPr>
              <w:t>iota_0296_3</w:t>
            </w:r>
          </w:p>
        </w:tc>
        <w:tc>
          <w:tcPr>
            <w:tcW w:type="dxa" w:w="1872"/>
          </w:tcPr>
          <w:p>
            <w:pPr>
              <w:jc w:val="center"/>
            </w:pPr>
            <w:r>
              <w:rPr>
                <w:rFonts w:ascii="Times New Roman" w:hAnsi="Times New Roman"/>
                <w:sz w:val="20"/>
              </w:rPr>
              <w:t>21.566</w:t>
            </w:r>
          </w:p>
        </w:tc>
        <w:tc>
          <w:tcPr>
            <w:tcW w:type="dxa" w:w="1872"/>
          </w:tcPr>
          <w:p>
            <w:pPr>
              <w:jc w:val="center"/>
            </w:pPr>
            <w:r>
              <w:rPr>
                <w:rFonts w:ascii="Times New Roman" w:hAnsi="Times New Roman"/>
                <w:sz w:val="20"/>
              </w:rPr>
              <w:t>439.50</w:t>
            </w:r>
          </w:p>
        </w:tc>
        <w:tc>
          <w:tcPr>
            <w:tcW w:type="dxa" w:w="1872"/>
          </w:tcPr>
          <w:p>
            <w:pPr>
              <w:jc w:val="center"/>
            </w:pPr>
            <w:r>
              <w:rPr>
                <w:rFonts w:ascii="Times New Roman" w:hAnsi="Times New Roman"/>
                <w:sz w:val="20"/>
              </w:rPr>
              <w:t>1213.42</w:t>
            </w:r>
          </w:p>
        </w:tc>
        <w:tc>
          <w:tcPr>
            <w:tcW w:type="dxa" w:w="1872"/>
          </w:tcPr>
          <w:p>
            <w:pPr>
              <w:jc w:val="center"/>
            </w:pPr>
            <w:r>
              <w:rPr>
                <w:rFonts w:ascii="Times New Roman" w:hAnsi="Times New Roman"/>
                <w:sz w:val="20"/>
              </w:rPr>
              <w:t>PASS</w:t>
            </w:r>
          </w:p>
        </w:tc>
      </w:tr>
    </w:tbl>
    <w:p>
      <w:pPr>
        <w:pStyle w:val="Heading2"/>
        <w:spacing w:before="40" w:after="40"/>
      </w:pPr>
      <w:r>
        <w:rPr>
          <w:rFonts w:ascii="Times New Roman" w:hAnsi="Times New Roman"/>
          <w:color w:val="000000"/>
          <w:sz w:val="26"/>
        </w:rPr>
        <w:t>Engineering Constraint Rationale</w:t>
      </w:r>
    </w:p>
    <w:p>
      <w:pPr>
        <w:spacing w:before="0" w:after="0" w:line="480" w:lineRule="auto"/>
        <w:ind w:firstLine="720"/>
        <w:jc w:val="both"/>
      </w:pPr>
      <w:r>
        <w:rPr>
          <w:rFonts w:ascii="Times New Roman" w:hAnsi="Times New Roman"/>
          <w:b w:val="0"/>
          <w:i w:val="0"/>
          <w:sz w:val="24"/>
        </w:rPr>
        <w:t>Mass constraints (18.0–23.0 kg) ensure appropriate unsprung weight per Original Equipment Manufacturer (OEM) specifications, directly affecting ride quality, handling, and fuel efficiency. Modal frequency constraints prevent resonance coupling: Mode 7 (380–470 Hz) must avoid tire cavity resonance (200–250 Hz), while Mode 11 (1000–1400 Hz) ensures high-frequency stiffness (Beta CAE Systems, 2023). The stiffness ratio (2.5–3.2) indicates structural balance between modes; ratios outside this range suggest excessive flexibility or localized stress concentrations. Industry standards ISO 7141:2022 and SAE J175:2020 govern wheel validation.</w:t>
      </w:r>
    </w:p>
    <w:p>
      <w:pPr>
        <w:pStyle w:val="Heading1"/>
        <w:spacing w:before="80" w:after="40"/>
      </w:pPr>
      <w:r>
        <w:rPr>
          <w:rFonts w:ascii="Times New Roman" w:hAnsi="Times New Roman"/>
          <w:color w:val="000000"/>
          <w:sz w:val="28"/>
        </w:rPr>
        <w:t>4. Analysis – Data Cleaning, EDA Results, Visualizations</w:t>
      </w:r>
    </w:p>
    <w:p>
      <w:pPr>
        <w:pStyle w:val="Heading2"/>
        <w:spacing w:before="40" w:after="40"/>
      </w:pPr>
      <w:r>
        <w:rPr>
          <w:rFonts w:ascii="Times New Roman" w:hAnsi="Times New Roman"/>
          <w:color w:val="000000"/>
          <w:sz w:val="26"/>
        </w:rPr>
        <w:t>Data Cleaning Process</w:t>
      </w:r>
    </w:p>
    <w:p>
      <w:pPr>
        <w:spacing w:before="0" w:after="0" w:line="480" w:lineRule="auto"/>
        <w:ind w:firstLine="720"/>
        <w:jc w:val="both"/>
      </w:pPr>
      <w:r>
        <w:rPr>
          <w:rFonts w:ascii="Times New Roman" w:hAnsi="Times New Roman"/>
          <w:b w:val="0"/>
          <w:i w:val="0"/>
          <w:sz w:val="24"/>
        </w:rPr>
        <w:t>The DeepWheel dataset was loaded from deepwheel_sim_results.csv containing 904 records with 4 columns: file_name, Mass, Mode7 Freq, and Mode11 Freq. The dataset is complete with zero missing values across all records. Numerical variables are stored as 64-bit floating-point numbers. Column names were standardized by replacing spaces with underscores (e.g., Mode7 Freq → Mode7_Freq) for Python compatibility.</w:t>
      </w:r>
    </w:p>
    <w:p>
      <w:pPr>
        <w:spacing w:before="0" w:after="0" w:line="480" w:lineRule="auto"/>
        <w:ind w:firstLine="720"/>
        <w:jc w:val="both"/>
      </w:pPr>
      <w:r>
        <w:rPr>
          <w:rFonts w:ascii="Times New Roman" w:hAnsi="Times New Roman"/>
          <w:b/>
          <w:i w:val="0"/>
          <w:sz w:val="24"/>
        </w:rPr>
        <w:t xml:space="preserve">Outlier Detection (Interquartile Range Method): </w:t>
      </w:r>
      <w:r>
        <w:rPr>
          <w:rFonts w:ascii="Times New Roman" w:hAnsi="Times New Roman"/>
          <w:b w:val="0"/>
          <w:i w:val="0"/>
          <w:sz w:val="24"/>
        </w:rPr>
        <w:t>IQR-based outlier analysis identified a small number of extreme values in each parameter. These outliers were retained because: (1) they represent legitimate AI-generated designs at the boundaries of the parametric space, and (2) removing them would bias the validation analysis by excluding designs most likely to violate engineering constraints—the very phenomenon under study. All 904 records were retained for subsequent analysis.</w:t>
      </w:r>
    </w:p>
    <w:p>
      <w:pPr>
        <w:pStyle w:val="Heading2"/>
        <w:spacing w:before="40" w:after="40"/>
      </w:pPr>
      <w:r>
        <w:rPr>
          <w:rFonts w:ascii="Times New Roman" w:hAnsi="Times New Roman"/>
          <w:color w:val="000000"/>
          <w:sz w:val="26"/>
        </w:rPr>
        <w:t>Feature Engineering</w:t>
      </w:r>
    </w:p>
    <w:p>
      <w:pPr>
        <w:spacing w:before="0" w:after="0" w:line="480" w:lineRule="auto"/>
        <w:ind w:firstLine="720"/>
        <w:jc w:val="both"/>
      </w:pPr>
      <w:r>
        <w:rPr>
          <w:rFonts w:ascii="Times New Roman" w:hAnsi="Times New Roman"/>
          <w:b w:val="0"/>
          <w:i w:val="0"/>
          <w:sz w:val="24"/>
        </w:rPr>
        <w:t>Seven derived variables were computed to enable constraint evaluation and validation prediction (see Table 5).</w:t>
      </w:r>
    </w:p>
    <w:p>
      <w:pPr>
        <w:spacing w:before="80" w:after="0" w:line="240" w:lineRule="auto"/>
      </w:pPr>
      <w:r>
        <w:rPr>
          <w:rFonts w:ascii="Times New Roman" w:hAnsi="Times New Roman"/>
          <w:b/>
          <w:i/>
          <w:sz w:val="22"/>
        </w:rPr>
        <w:t>Table 5</w:t>
      </w:r>
    </w:p>
    <w:p>
      <w:pPr>
        <w:spacing w:before="0" w:after="40" w:line="240" w:lineRule="auto"/>
      </w:pPr>
      <w:r>
        <w:rPr>
          <w:rFonts w:ascii="Times New Roman" w:hAnsi="Times New Roman"/>
          <w:i/>
          <w:sz w:val="22"/>
        </w:rPr>
        <w:t>Derived Features and Their Computation Formulas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jc w:val="center"/>
            </w:pPr>
            <w:r>
              <w:rPr>
                <w:rFonts w:ascii="Times New Roman" w:hAnsi="Times New Roman"/>
                <w:b/>
                <w:sz w:val="20"/>
              </w:rPr>
              <w:t>Derived Feature</w:t>
            </w:r>
          </w:p>
        </w:tc>
        <w:tc>
          <w:tcPr>
            <w:tcW w:type="dxa" w:w="3120"/>
            <w:shd w:fill="D9E2F3"/>
          </w:tcPr>
          <w:p>
            <w:pPr>
              <w:jc w:val="center"/>
            </w:pPr>
            <w:r>
              <w:rPr>
                <w:rFonts w:ascii="Times New Roman" w:hAnsi="Times New Roman"/>
                <w:b/>
                <w:sz w:val="20"/>
              </w:rPr>
              <w:t>Formula</w:t>
            </w:r>
          </w:p>
        </w:tc>
        <w:tc>
          <w:tcPr>
            <w:tcW w:type="dxa" w:w="3120"/>
            <w:shd w:fill="D9E2F3"/>
          </w:tcPr>
          <w:p>
            <w:pPr>
              <w:jc w:val="center"/>
            </w:pPr>
            <w:r>
              <w:rPr>
                <w:rFonts w:ascii="Times New Roman" w:hAnsi="Times New Roman"/>
                <w:b/>
                <w:sz w:val="20"/>
              </w:rPr>
              <w:t>Purpose</w:t>
            </w:r>
          </w:p>
        </w:tc>
      </w:tr>
      <w:tr>
        <w:tc>
          <w:tcPr>
            <w:tcW w:type="dxa" w:w="3120"/>
          </w:tcPr>
          <w:p>
            <w:pPr>
              <w:jc w:val="center"/>
            </w:pPr>
            <w:r>
              <w:rPr>
                <w:rFonts w:ascii="Times New Roman" w:hAnsi="Times New Roman"/>
                <w:sz w:val="20"/>
              </w:rPr>
              <w:t>mass_constraint</w:t>
            </w:r>
          </w:p>
        </w:tc>
        <w:tc>
          <w:tcPr>
            <w:tcW w:type="dxa" w:w="3120"/>
          </w:tcPr>
          <w:p>
            <w:pPr>
              <w:jc w:val="center"/>
            </w:pPr>
            <w:r>
              <w:rPr>
                <w:rFonts w:ascii="Times New Roman" w:hAnsi="Times New Roman"/>
                <w:sz w:val="20"/>
              </w:rPr>
              <w:t>1 if 18.0 ≤ Mass ≤ 23.0, else 0</w:t>
            </w:r>
          </w:p>
        </w:tc>
        <w:tc>
          <w:tcPr>
            <w:tcW w:type="dxa" w:w="3120"/>
          </w:tcPr>
          <w:p>
            <w:pPr>
              <w:jc w:val="center"/>
            </w:pPr>
            <w:r>
              <w:rPr>
                <w:rFonts w:ascii="Times New Roman" w:hAnsi="Times New Roman"/>
                <w:sz w:val="20"/>
              </w:rPr>
              <w:t>Mass validation gate</w:t>
            </w:r>
          </w:p>
        </w:tc>
      </w:tr>
      <w:tr>
        <w:tc>
          <w:tcPr>
            <w:tcW w:type="dxa" w:w="3120"/>
          </w:tcPr>
          <w:p>
            <w:pPr>
              <w:jc w:val="center"/>
            </w:pPr>
            <w:r>
              <w:rPr>
                <w:rFonts w:ascii="Times New Roman" w:hAnsi="Times New Roman"/>
                <w:sz w:val="20"/>
              </w:rPr>
              <w:t>freq7_constraint</w:t>
            </w:r>
          </w:p>
        </w:tc>
        <w:tc>
          <w:tcPr>
            <w:tcW w:type="dxa" w:w="3120"/>
          </w:tcPr>
          <w:p>
            <w:pPr>
              <w:jc w:val="center"/>
            </w:pPr>
            <w:r>
              <w:rPr>
                <w:rFonts w:ascii="Times New Roman" w:hAnsi="Times New Roman"/>
                <w:sz w:val="20"/>
              </w:rPr>
              <w:t>1 if 380 ≤ Mode7_Freq ≤ 470, else 0</w:t>
            </w:r>
          </w:p>
        </w:tc>
        <w:tc>
          <w:tcPr>
            <w:tcW w:type="dxa" w:w="3120"/>
          </w:tcPr>
          <w:p>
            <w:pPr>
              <w:jc w:val="center"/>
            </w:pPr>
            <w:r>
              <w:rPr>
                <w:rFonts w:ascii="Times New Roman" w:hAnsi="Times New Roman"/>
                <w:sz w:val="20"/>
              </w:rPr>
              <w:t>Mode 7 validation gate</w:t>
            </w:r>
          </w:p>
        </w:tc>
      </w:tr>
      <w:tr>
        <w:tc>
          <w:tcPr>
            <w:tcW w:type="dxa" w:w="3120"/>
          </w:tcPr>
          <w:p>
            <w:pPr>
              <w:jc w:val="center"/>
            </w:pPr>
            <w:r>
              <w:rPr>
                <w:rFonts w:ascii="Times New Roman" w:hAnsi="Times New Roman"/>
                <w:sz w:val="20"/>
              </w:rPr>
              <w:t>freq11_constraint</w:t>
            </w:r>
          </w:p>
        </w:tc>
        <w:tc>
          <w:tcPr>
            <w:tcW w:type="dxa" w:w="3120"/>
          </w:tcPr>
          <w:p>
            <w:pPr>
              <w:jc w:val="center"/>
            </w:pPr>
            <w:r>
              <w:rPr>
                <w:rFonts w:ascii="Times New Roman" w:hAnsi="Times New Roman"/>
                <w:sz w:val="20"/>
              </w:rPr>
              <w:t>1 if 1000 ≤ Mode11_Freq ≤ 1400, else 0</w:t>
            </w:r>
          </w:p>
        </w:tc>
        <w:tc>
          <w:tcPr>
            <w:tcW w:type="dxa" w:w="3120"/>
          </w:tcPr>
          <w:p>
            <w:pPr>
              <w:jc w:val="center"/>
            </w:pPr>
            <w:r>
              <w:rPr>
                <w:rFonts w:ascii="Times New Roman" w:hAnsi="Times New Roman"/>
                <w:sz w:val="20"/>
              </w:rPr>
              <w:t>Mode 11 validation gate</w:t>
            </w:r>
          </w:p>
        </w:tc>
      </w:tr>
      <w:tr>
        <w:tc>
          <w:tcPr>
            <w:tcW w:type="dxa" w:w="3120"/>
          </w:tcPr>
          <w:p>
            <w:pPr>
              <w:jc w:val="center"/>
            </w:pPr>
            <w:r>
              <w:rPr>
                <w:rFonts w:ascii="Times New Roman" w:hAnsi="Times New Roman"/>
                <w:sz w:val="20"/>
              </w:rPr>
              <w:t>stiffness_ratio</w:t>
            </w:r>
          </w:p>
        </w:tc>
        <w:tc>
          <w:tcPr>
            <w:tcW w:type="dxa" w:w="3120"/>
          </w:tcPr>
          <w:p>
            <w:pPr>
              <w:jc w:val="center"/>
            </w:pPr>
            <w:r>
              <w:rPr>
                <w:rFonts w:ascii="Times New Roman" w:hAnsi="Times New Roman"/>
                <w:sz w:val="20"/>
              </w:rPr>
              <w:t>Mode11_Freq / Mode7_Freq</w:t>
            </w:r>
          </w:p>
        </w:tc>
        <w:tc>
          <w:tcPr>
            <w:tcW w:type="dxa" w:w="3120"/>
          </w:tcPr>
          <w:p>
            <w:pPr>
              <w:jc w:val="center"/>
            </w:pPr>
            <w:r>
              <w:rPr>
                <w:rFonts w:ascii="Times New Roman" w:hAnsi="Times New Roman"/>
                <w:sz w:val="20"/>
              </w:rPr>
              <w:t>Structural balance metric</w:t>
            </w:r>
          </w:p>
        </w:tc>
      </w:tr>
      <w:tr>
        <w:tc>
          <w:tcPr>
            <w:tcW w:type="dxa" w:w="3120"/>
          </w:tcPr>
          <w:p>
            <w:pPr>
              <w:jc w:val="center"/>
            </w:pPr>
            <w:r>
              <w:rPr>
                <w:rFonts w:ascii="Times New Roman" w:hAnsi="Times New Roman"/>
                <w:sz w:val="20"/>
              </w:rPr>
              <w:t>stiffness_constraint</w:t>
            </w:r>
          </w:p>
        </w:tc>
        <w:tc>
          <w:tcPr>
            <w:tcW w:type="dxa" w:w="3120"/>
          </w:tcPr>
          <w:p>
            <w:pPr>
              <w:jc w:val="center"/>
            </w:pPr>
            <w:r>
              <w:rPr>
                <w:rFonts w:ascii="Times New Roman" w:hAnsi="Times New Roman"/>
                <w:sz w:val="20"/>
              </w:rPr>
              <w:t>1 if 2.5 ≤ stiffness_ratio ≤ 3.2, else 0</w:t>
            </w:r>
          </w:p>
        </w:tc>
        <w:tc>
          <w:tcPr>
            <w:tcW w:type="dxa" w:w="3120"/>
          </w:tcPr>
          <w:p>
            <w:pPr>
              <w:jc w:val="center"/>
            </w:pPr>
            <w:r>
              <w:rPr>
                <w:rFonts w:ascii="Times New Roman" w:hAnsi="Times New Roman"/>
                <w:sz w:val="20"/>
              </w:rPr>
              <w:t>Stiffness validation gate</w:t>
            </w:r>
          </w:p>
        </w:tc>
      </w:tr>
      <w:tr>
        <w:tc>
          <w:tcPr>
            <w:tcW w:type="dxa" w:w="3120"/>
          </w:tcPr>
          <w:p>
            <w:pPr>
              <w:jc w:val="center"/>
            </w:pPr>
            <w:r>
              <w:rPr>
                <w:rFonts w:ascii="Times New Roman" w:hAnsi="Times New Roman"/>
                <w:sz w:val="20"/>
              </w:rPr>
              <w:t>mass_efficiency</w:t>
            </w:r>
          </w:p>
        </w:tc>
        <w:tc>
          <w:tcPr>
            <w:tcW w:type="dxa" w:w="3120"/>
          </w:tcPr>
          <w:p>
            <w:pPr>
              <w:jc w:val="center"/>
            </w:pPr>
            <w:r>
              <w:rPr>
                <w:rFonts w:ascii="Times New Roman" w:hAnsi="Times New Roman"/>
                <w:sz w:val="20"/>
              </w:rPr>
              <w:t>(Mode7_Freq + Mode11_Freq) / (2 × Mass)</w:t>
            </w:r>
          </w:p>
        </w:tc>
        <w:tc>
          <w:tcPr>
            <w:tcW w:type="dxa" w:w="3120"/>
          </w:tcPr>
          <w:p>
            <w:pPr>
              <w:jc w:val="center"/>
            </w:pPr>
            <w:r>
              <w:rPr>
                <w:rFonts w:ascii="Times New Roman" w:hAnsi="Times New Roman"/>
                <w:sz w:val="20"/>
              </w:rPr>
              <w:t>Normalized performance</w:t>
            </w:r>
          </w:p>
        </w:tc>
      </w:tr>
      <w:tr>
        <w:tc>
          <w:tcPr>
            <w:tcW w:type="dxa" w:w="3120"/>
          </w:tcPr>
          <w:p>
            <w:pPr>
              <w:jc w:val="center"/>
            </w:pPr>
            <w:r>
              <w:rPr>
                <w:rFonts w:ascii="Times New Roman" w:hAnsi="Times New Roman"/>
                <w:sz w:val="20"/>
              </w:rPr>
              <w:t>validation_outcome</w:t>
            </w:r>
          </w:p>
        </w:tc>
        <w:tc>
          <w:tcPr>
            <w:tcW w:type="dxa" w:w="3120"/>
          </w:tcPr>
          <w:p>
            <w:pPr>
              <w:jc w:val="center"/>
            </w:pPr>
            <w:r>
              <w:rPr>
                <w:rFonts w:ascii="Times New Roman" w:hAnsi="Times New Roman"/>
                <w:sz w:val="20"/>
              </w:rPr>
              <w:t>1 if ALL constraints pass, else 0</w:t>
            </w:r>
          </w:p>
        </w:tc>
        <w:tc>
          <w:tcPr>
            <w:tcW w:type="dxa" w:w="3120"/>
          </w:tcPr>
          <w:p>
            <w:pPr>
              <w:jc w:val="center"/>
            </w:pPr>
            <w:r>
              <w:rPr>
                <w:rFonts w:ascii="Times New Roman" w:hAnsi="Times New Roman"/>
                <w:sz w:val="20"/>
              </w:rPr>
              <w:t>Composite validation</w:t>
            </w:r>
          </w:p>
        </w:tc>
      </w:tr>
    </w:tbl>
    <w:p>
      <w:pPr>
        <w:pStyle w:val="Heading2"/>
        <w:spacing w:before="40" w:after="40"/>
      </w:pPr>
      <w:r>
        <w:rPr>
          <w:rFonts w:ascii="Times New Roman" w:hAnsi="Times New Roman"/>
          <w:color w:val="000000"/>
          <w:sz w:val="26"/>
        </w:rPr>
        <w:t>Minimum Sample Size Computation per RQ</w:t>
      </w:r>
    </w:p>
    <w:p>
      <w:pPr>
        <w:spacing w:before="0" w:after="0" w:line="480" w:lineRule="auto"/>
        <w:ind w:firstLine="720"/>
        <w:jc w:val="both"/>
      </w:pPr>
      <w:r>
        <w:rPr>
          <w:rFonts w:ascii="Times New Roman" w:hAnsi="Times New Roman"/>
          <w:b w:val="0"/>
          <w:i w:val="0"/>
          <w:sz w:val="24"/>
        </w:rPr>
        <w:t>Sample size calculations ensure adequate statistical power across all four research questions. The DeepWheel dataset provides n = 904 complete records.</w:t>
      </w:r>
    </w:p>
    <w:p>
      <w:pPr>
        <w:spacing w:before="0" w:after="0" w:line="480" w:lineRule="auto"/>
        <w:ind w:firstLine="720"/>
        <w:jc w:val="both"/>
      </w:pPr>
      <w:r>
        <w:rPr>
          <w:rFonts w:ascii="Times New Roman" w:hAnsi="Times New Roman"/>
          <w:b/>
          <w:i w:val="0"/>
          <w:sz w:val="24"/>
        </w:rPr>
        <w:t>RQ1 – Proportion Estimation:</w:t>
      </w:r>
    </w:p>
    <w:p>
      <w:pPr>
        <w:spacing w:before="60" w:after="60" w:line="240" w:lineRule="auto"/>
        <w:jc w:val="center"/>
      </w:pPr>
      <w:r>
        <w:rPr>
          <w:rFonts w:ascii="Cambria Math" w:hAnsi="Cambria Math"/>
          <w:b w:val="0"/>
          <w:i w:val="0"/>
          <w:sz w:val="24"/>
        </w:rPr>
        <w:t>n = (Z²α/2 × p(1 – p)) / E²</w:t>
      </w:r>
    </w:p>
    <w:p>
      <w:pPr>
        <w:spacing w:before="0" w:after="120" w:line="360" w:lineRule="auto"/>
        <w:ind w:firstLine="720"/>
        <w:jc w:val="both"/>
      </w:pPr>
      <w:r>
        <w:rPr>
          <w:rFonts w:ascii="Times New Roman" w:hAnsi="Times New Roman"/>
          <w:b w:val="0"/>
          <w:i w:val="0"/>
          <w:sz w:val="24"/>
        </w:rPr>
        <w:t>Where Z = 1.96, p = 0.30, E = 0.05. Calculation: n = (1.96² × 0.30 × 0.70) / 0.05² = 323. Required n = 323; Available n = 904 (Power: &gt;95%).</w:t>
      </w:r>
    </w:p>
    <w:p>
      <w:pPr>
        <w:spacing w:before="0" w:after="0" w:line="480" w:lineRule="auto"/>
        <w:ind w:firstLine="720"/>
        <w:jc w:val="both"/>
      </w:pPr>
      <w:r>
        <w:rPr>
          <w:rFonts w:ascii="Times New Roman" w:hAnsi="Times New Roman"/>
          <w:b/>
          <w:i w:val="0"/>
          <w:sz w:val="24"/>
        </w:rPr>
        <w:t>RQ2 – Correlation Detection (Fisher’s z-transformation):</w:t>
      </w:r>
    </w:p>
    <w:p>
      <w:pPr>
        <w:spacing w:before="60" w:after="60" w:line="240" w:lineRule="auto"/>
        <w:jc w:val="center"/>
      </w:pPr>
      <w:r>
        <w:rPr>
          <w:rFonts w:ascii="Cambria Math" w:hAnsi="Cambria Math"/>
          <w:b w:val="0"/>
          <w:i w:val="0"/>
          <w:sz w:val="24"/>
        </w:rPr>
        <w:t>n = ((Zα/2 + Zβ) / zᵣ)² + 3</w:t>
      </w:r>
    </w:p>
    <w:p>
      <w:pPr>
        <w:spacing w:before="0" w:after="120" w:line="360" w:lineRule="auto"/>
        <w:ind w:firstLine="720"/>
        <w:jc w:val="both"/>
      </w:pPr>
      <w:r>
        <w:rPr>
          <w:rFonts w:ascii="Times New Roman" w:hAnsi="Times New Roman"/>
          <w:b w:val="0"/>
          <w:i w:val="0"/>
          <w:sz w:val="24"/>
        </w:rPr>
        <w:t>Where zᵣ = 0.5 × ln((1+r)/(1–r)) for r = 0.20, power = 0.80. Calculation: n = ((1.96 + 0.84) / 0.2027)² + 3 = 194. Required n = 194; Available n = 904 (Power: &gt;95%).</w:t>
      </w:r>
    </w:p>
    <w:p>
      <w:pPr>
        <w:spacing w:before="0" w:after="0" w:line="480" w:lineRule="auto"/>
        <w:ind w:firstLine="720"/>
        <w:jc w:val="both"/>
      </w:pPr>
      <w:r>
        <w:rPr>
          <w:rFonts w:ascii="Times New Roman" w:hAnsi="Times New Roman"/>
          <w:b/>
          <w:i w:val="0"/>
          <w:sz w:val="24"/>
        </w:rPr>
        <w:t>RQ3 – Classification (Events Per Variable rule; Peduzzi et al., 1996):</w:t>
      </w:r>
    </w:p>
    <w:p>
      <w:pPr>
        <w:spacing w:before="60" w:after="60" w:line="240" w:lineRule="auto"/>
        <w:jc w:val="center"/>
      </w:pPr>
      <w:r>
        <w:rPr>
          <w:rFonts w:ascii="Cambria Math" w:hAnsi="Cambria Math"/>
          <w:b w:val="0"/>
          <w:i w:val="0"/>
          <w:sz w:val="24"/>
        </w:rPr>
        <w:t>n_min = (EPV × k) / min(p, 1 – p)</w:t>
      </w:r>
    </w:p>
    <w:p>
      <w:pPr>
        <w:spacing w:before="0" w:after="120" w:line="360" w:lineRule="auto"/>
        <w:ind w:firstLine="720"/>
        <w:jc w:val="both"/>
      </w:pPr>
      <w:r>
        <w:rPr>
          <w:rFonts w:ascii="Times New Roman" w:hAnsi="Times New Roman"/>
          <w:b w:val="0"/>
          <w:i w:val="0"/>
          <w:sz w:val="24"/>
        </w:rPr>
        <w:t>Where EPV = 15, k = 10 predictors, p = 0.30 (minority class). Calculation: n = (15 × 10) / 0.30 = 500. Required n = 500; Available n = 904 (Power: &gt;90%).</w:t>
      </w:r>
    </w:p>
    <w:p>
      <w:pPr>
        <w:spacing w:before="0" w:after="0" w:line="480" w:lineRule="auto"/>
        <w:ind w:firstLine="720"/>
        <w:jc w:val="both"/>
      </w:pPr>
      <w:r>
        <w:rPr>
          <w:rFonts w:ascii="Times New Roman" w:hAnsi="Times New Roman"/>
          <w:b/>
          <w:i w:val="0"/>
          <w:sz w:val="24"/>
        </w:rPr>
        <w:t>RQ4 – Group Comparison (Cohen, 1988):</w:t>
      </w:r>
    </w:p>
    <w:p>
      <w:pPr>
        <w:spacing w:before="60" w:after="60" w:line="240" w:lineRule="auto"/>
        <w:jc w:val="center"/>
      </w:pPr>
      <w:r>
        <w:rPr>
          <w:rFonts w:ascii="Cambria Math" w:hAnsi="Cambria Math"/>
          <w:b w:val="0"/>
          <w:i w:val="0"/>
          <w:sz w:val="24"/>
        </w:rPr>
        <w:t>n_per_group = 2 × ((Zα/2 + Zβ) / d)²</w:t>
      </w:r>
    </w:p>
    <w:p>
      <w:pPr>
        <w:spacing w:before="0" w:after="120" w:line="360" w:lineRule="auto"/>
        <w:ind w:firstLine="720"/>
        <w:jc w:val="both"/>
      </w:pPr>
      <w:r>
        <w:rPr>
          <w:rFonts w:ascii="Times New Roman" w:hAnsi="Times New Roman"/>
          <w:b w:val="0"/>
          <w:i w:val="0"/>
          <w:sz w:val="24"/>
        </w:rPr>
        <w:t>Where d = 0.5 (medium effect size). Calculation: n = 2 × ((1.96 + 0.84) / 0.5)² = 63 per group, 126 total. Required n = 126; Available n = 904 (Power: &gt;99%).</w:t>
      </w:r>
    </w:p>
    <w:p>
      <w:pPr>
        <w:spacing w:before="0" w:after="0" w:line="480" w:lineRule="auto"/>
        <w:ind w:firstLine="720"/>
        <w:jc w:val="both"/>
      </w:pPr>
      <w:r>
        <w:rPr>
          <w:rFonts w:ascii="Times New Roman" w:hAnsi="Times New Roman"/>
          <w:b w:val="0"/>
          <w:i w:val="0"/>
          <w:sz w:val="24"/>
        </w:rPr>
        <w:t>As summarized in Table 2 (Section 1), all four research questions have adequate sample sizes, with the available n = 904 substantially exceeding requirements.</w:t>
      </w:r>
    </w:p>
    <w:p>
      <w:pPr>
        <w:pStyle w:val="Heading2"/>
        <w:spacing w:before="40" w:after="40"/>
      </w:pPr>
      <w:r>
        <w:rPr>
          <w:rFonts w:ascii="Times New Roman" w:hAnsi="Times New Roman"/>
          <w:color w:val="000000"/>
          <w:sz w:val="26"/>
        </w:rPr>
        <w:t>Exploratory Data Analysis Results</w:t>
      </w:r>
    </w:p>
    <w:p>
      <w:pPr>
        <w:pStyle w:val="Heading3"/>
        <w:spacing w:before="40" w:after="40"/>
      </w:pPr>
      <w:r>
        <w:rPr>
          <w:rFonts w:ascii="Times New Roman" w:hAnsi="Times New Roman"/>
          <w:color w:val="000000"/>
          <w:sz w:val="24"/>
        </w:rPr>
        <w:t>Descriptive Statistics</w:t>
      </w:r>
    </w:p>
    <w:p>
      <w:pPr>
        <w:spacing w:before="0" w:after="0" w:line="480" w:lineRule="auto"/>
        <w:ind w:firstLine="720"/>
        <w:jc w:val="both"/>
      </w:pPr>
      <w:r>
        <w:rPr>
          <w:rFonts w:ascii="Times New Roman" w:hAnsi="Times New Roman"/>
          <w:b w:val="0"/>
          <w:i w:val="0"/>
          <w:sz w:val="24"/>
        </w:rPr>
        <w:t>Table 6 presents the descriptive statistics for all continuous variables.</w:t>
      </w:r>
    </w:p>
    <w:p>
      <w:pPr>
        <w:spacing w:before="80" w:after="0" w:line="240" w:lineRule="auto"/>
      </w:pPr>
      <w:r>
        <w:rPr>
          <w:rFonts w:ascii="Times New Roman" w:hAnsi="Times New Roman"/>
          <w:b/>
          <w:i/>
          <w:sz w:val="22"/>
        </w:rPr>
        <w:t>Table 6</w:t>
      </w:r>
    </w:p>
    <w:p>
      <w:pPr>
        <w:spacing w:before="0" w:after="40" w:line="240" w:lineRule="auto"/>
      </w:pPr>
      <w:r>
        <w:rPr>
          <w:rFonts w:ascii="Times New Roman" w:hAnsi="Times New Roman"/>
          <w:i/>
          <w:sz w:val="22"/>
        </w:rPr>
        <w:t>Descriptive Statistics for DeepWheel Dataset Variables (n = 904)</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tcPr>
          <w:p>
            <w:pPr>
              <w:jc w:val="center"/>
            </w:pPr>
            <w:r>
              <w:rPr>
                <w:rFonts w:ascii="Times New Roman" w:hAnsi="Times New Roman"/>
                <w:b/>
                <w:sz w:val="20"/>
              </w:rPr>
              <w:t>Statistic</w:t>
            </w:r>
          </w:p>
        </w:tc>
        <w:tc>
          <w:tcPr>
            <w:tcW w:type="dxa" w:w="1560"/>
            <w:shd w:fill="D9E2F3"/>
          </w:tcPr>
          <w:p>
            <w:pPr>
              <w:jc w:val="center"/>
            </w:pPr>
            <w:r>
              <w:rPr>
                <w:rFonts w:ascii="Times New Roman" w:hAnsi="Times New Roman"/>
                <w:b/>
                <w:sz w:val="20"/>
              </w:rPr>
              <w:t>Mass (kg)</w:t>
            </w:r>
          </w:p>
        </w:tc>
        <w:tc>
          <w:tcPr>
            <w:tcW w:type="dxa" w:w="1560"/>
            <w:shd w:fill="D9E2F3"/>
          </w:tcPr>
          <w:p>
            <w:pPr>
              <w:jc w:val="center"/>
            </w:pPr>
            <w:r>
              <w:rPr>
                <w:rFonts w:ascii="Times New Roman" w:hAnsi="Times New Roman"/>
                <w:b/>
                <w:sz w:val="20"/>
              </w:rPr>
              <w:t>Mode7_Freq (Hz)</w:t>
            </w:r>
          </w:p>
        </w:tc>
        <w:tc>
          <w:tcPr>
            <w:tcW w:type="dxa" w:w="1560"/>
            <w:shd w:fill="D9E2F3"/>
          </w:tcPr>
          <w:p>
            <w:pPr>
              <w:jc w:val="center"/>
            </w:pPr>
            <w:r>
              <w:rPr>
                <w:rFonts w:ascii="Times New Roman" w:hAnsi="Times New Roman"/>
                <w:b/>
                <w:sz w:val="20"/>
              </w:rPr>
              <w:t>Mode11_Freq (Hz)</w:t>
            </w:r>
          </w:p>
        </w:tc>
        <w:tc>
          <w:tcPr>
            <w:tcW w:type="dxa" w:w="1560"/>
            <w:shd w:fill="D9E2F3"/>
          </w:tcPr>
          <w:p>
            <w:pPr>
              <w:jc w:val="center"/>
            </w:pPr>
            <w:r>
              <w:rPr>
                <w:rFonts w:ascii="Times New Roman" w:hAnsi="Times New Roman"/>
                <w:b/>
                <w:sz w:val="20"/>
              </w:rPr>
              <w:t>Stiff. Ratio</w:t>
            </w:r>
          </w:p>
        </w:tc>
        <w:tc>
          <w:tcPr>
            <w:tcW w:type="dxa" w:w="1560"/>
            <w:shd w:fill="D9E2F3"/>
          </w:tcPr>
          <w:p>
            <w:pPr>
              <w:jc w:val="center"/>
            </w:pPr>
            <w:r>
              <w:rPr>
                <w:rFonts w:ascii="Times New Roman" w:hAnsi="Times New Roman"/>
                <w:b/>
                <w:sz w:val="20"/>
              </w:rPr>
              <w:t>Mass Eff.</w:t>
            </w:r>
          </w:p>
        </w:tc>
      </w:tr>
      <w:tr>
        <w:tc>
          <w:tcPr>
            <w:tcW w:type="dxa" w:w="1560"/>
          </w:tcPr>
          <w:p>
            <w:pPr>
              <w:jc w:val="center"/>
            </w:pPr>
            <w:r>
              <w:rPr>
                <w:rFonts w:ascii="Times New Roman" w:hAnsi="Times New Roman"/>
                <w:sz w:val="20"/>
              </w:rPr>
              <w:t>Mean (SD)</w:t>
            </w:r>
          </w:p>
        </w:tc>
        <w:tc>
          <w:tcPr>
            <w:tcW w:type="dxa" w:w="1560"/>
          </w:tcPr>
          <w:p>
            <w:pPr>
              <w:jc w:val="center"/>
            </w:pPr>
            <w:r>
              <w:rPr>
                <w:rFonts w:ascii="Times New Roman" w:hAnsi="Times New Roman"/>
                <w:sz w:val="20"/>
              </w:rPr>
              <w:t>20.51 (1.14)</w:t>
            </w:r>
          </w:p>
        </w:tc>
        <w:tc>
          <w:tcPr>
            <w:tcW w:type="dxa" w:w="1560"/>
          </w:tcPr>
          <w:p>
            <w:pPr>
              <w:jc w:val="center"/>
            </w:pPr>
            <w:r>
              <w:rPr>
                <w:rFonts w:ascii="Times New Roman" w:hAnsi="Times New Roman"/>
                <w:sz w:val="20"/>
              </w:rPr>
              <w:t>417.43 (21.30)</w:t>
            </w:r>
          </w:p>
        </w:tc>
        <w:tc>
          <w:tcPr>
            <w:tcW w:type="dxa" w:w="1560"/>
          </w:tcPr>
          <w:p>
            <w:pPr>
              <w:jc w:val="center"/>
            </w:pPr>
            <w:r>
              <w:rPr>
                <w:rFonts w:ascii="Times New Roman" w:hAnsi="Times New Roman"/>
                <w:sz w:val="20"/>
              </w:rPr>
              <w:t>1134.73 (113.83)</w:t>
            </w:r>
          </w:p>
        </w:tc>
        <w:tc>
          <w:tcPr>
            <w:tcW w:type="dxa" w:w="1560"/>
          </w:tcPr>
          <w:p>
            <w:pPr>
              <w:jc w:val="center"/>
            </w:pPr>
            <w:r>
              <w:rPr>
                <w:rFonts w:ascii="Times New Roman" w:hAnsi="Times New Roman"/>
                <w:sz w:val="20"/>
              </w:rPr>
              <w:t>2.71 (0.16)</w:t>
            </w:r>
          </w:p>
        </w:tc>
        <w:tc>
          <w:tcPr>
            <w:tcW w:type="dxa" w:w="1560"/>
          </w:tcPr>
          <w:p>
            <w:pPr>
              <w:jc w:val="center"/>
            </w:pPr>
            <w:r>
              <w:rPr>
                <w:rFonts w:ascii="Times New Roman" w:hAnsi="Times New Roman"/>
                <w:sz w:val="20"/>
              </w:rPr>
              <w:t>37.78 (1.56)</w:t>
            </w:r>
          </w:p>
        </w:tc>
      </w:tr>
      <w:tr>
        <w:tc>
          <w:tcPr>
            <w:tcW w:type="dxa" w:w="1560"/>
          </w:tcPr>
          <w:p>
            <w:pPr>
              <w:jc w:val="center"/>
            </w:pPr>
            <w:r>
              <w:rPr>
                <w:rFonts w:ascii="Times New Roman" w:hAnsi="Times New Roman"/>
                <w:sz w:val="20"/>
              </w:rPr>
              <w:t>Min</w:t>
            </w:r>
          </w:p>
        </w:tc>
        <w:tc>
          <w:tcPr>
            <w:tcW w:type="dxa" w:w="1560"/>
          </w:tcPr>
          <w:p>
            <w:pPr>
              <w:jc w:val="center"/>
            </w:pPr>
            <w:r>
              <w:rPr>
                <w:rFonts w:ascii="Times New Roman" w:hAnsi="Times New Roman"/>
                <w:sz w:val="20"/>
              </w:rPr>
              <w:t>17.61</w:t>
            </w:r>
          </w:p>
        </w:tc>
        <w:tc>
          <w:tcPr>
            <w:tcW w:type="dxa" w:w="1560"/>
          </w:tcPr>
          <w:p>
            <w:pPr>
              <w:jc w:val="center"/>
            </w:pPr>
            <w:r>
              <w:rPr>
                <w:rFonts w:ascii="Times New Roman" w:hAnsi="Times New Roman"/>
                <w:sz w:val="20"/>
              </w:rPr>
              <w:t>366.08</w:t>
            </w:r>
          </w:p>
        </w:tc>
        <w:tc>
          <w:tcPr>
            <w:tcW w:type="dxa" w:w="1560"/>
          </w:tcPr>
          <w:p>
            <w:pPr>
              <w:jc w:val="center"/>
            </w:pPr>
            <w:r>
              <w:rPr>
                <w:rFonts w:ascii="Times New Roman" w:hAnsi="Times New Roman"/>
                <w:sz w:val="20"/>
              </w:rPr>
              <w:t>910.44</w:t>
            </w:r>
          </w:p>
        </w:tc>
        <w:tc>
          <w:tcPr>
            <w:tcW w:type="dxa" w:w="1560"/>
          </w:tcPr>
          <w:p>
            <w:pPr>
              <w:jc w:val="center"/>
            </w:pPr>
            <w:r>
              <w:rPr>
                <w:rFonts w:ascii="Times New Roman" w:hAnsi="Times New Roman"/>
                <w:sz w:val="20"/>
              </w:rPr>
              <w:t>2.38</w:t>
            </w:r>
          </w:p>
        </w:tc>
        <w:tc>
          <w:tcPr>
            <w:tcW w:type="dxa" w:w="1560"/>
          </w:tcPr>
          <w:p>
            <w:pPr>
              <w:jc w:val="center"/>
            </w:pPr>
            <w:r>
              <w:rPr>
                <w:rFonts w:ascii="Times New Roman" w:hAnsi="Times New Roman"/>
                <w:sz w:val="20"/>
              </w:rPr>
              <w:t>32.28</w:t>
            </w:r>
          </w:p>
        </w:tc>
      </w:tr>
      <w:tr>
        <w:tc>
          <w:tcPr>
            <w:tcW w:type="dxa" w:w="1560"/>
          </w:tcPr>
          <w:p>
            <w:pPr>
              <w:jc w:val="center"/>
            </w:pPr>
            <w:r>
              <w:rPr>
                <w:rFonts w:ascii="Times New Roman" w:hAnsi="Times New Roman"/>
                <w:sz w:val="20"/>
              </w:rPr>
              <w:t>25th %ile</w:t>
            </w:r>
          </w:p>
        </w:tc>
        <w:tc>
          <w:tcPr>
            <w:tcW w:type="dxa" w:w="1560"/>
          </w:tcPr>
          <w:p>
            <w:pPr>
              <w:jc w:val="center"/>
            </w:pPr>
            <w:r>
              <w:rPr>
                <w:rFonts w:ascii="Times New Roman" w:hAnsi="Times New Roman"/>
                <w:sz w:val="20"/>
              </w:rPr>
              <w:t>19.70</w:t>
            </w:r>
          </w:p>
        </w:tc>
        <w:tc>
          <w:tcPr>
            <w:tcW w:type="dxa" w:w="1560"/>
          </w:tcPr>
          <w:p>
            <w:pPr>
              <w:jc w:val="center"/>
            </w:pPr>
            <w:r>
              <w:rPr>
                <w:rFonts w:ascii="Times New Roman" w:hAnsi="Times New Roman"/>
                <w:sz w:val="20"/>
              </w:rPr>
              <w:t>402.08</w:t>
            </w:r>
          </w:p>
        </w:tc>
        <w:tc>
          <w:tcPr>
            <w:tcW w:type="dxa" w:w="1560"/>
          </w:tcPr>
          <w:p>
            <w:pPr>
              <w:jc w:val="center"/>
            </w:pPr>
            <w:r>
              <w:rPr>
                <w:rFonts w:ascii="Times New Roman" w:hAnsi="Times New Roman"/>
                <w:sz w:val="20"/>
              </w:rPr>
              <w:t>1052.34</w:t>
            </w:r>
          </w:p>
        </w:tc>
        <w:tc>
          <w:tcPr>
            <w:tcW w:type="dxa" w:w="1560"/>
          </w:tcPr>
          <w:p>
            <w:pPr>
              <w:jc w:val="center"/>
            </w:pPr>
            <w:r>
              <w:rPr>
                <w:rFonts w:ascii="Times New Roman" w:hAnsi="Times New Roman"/>
                <w:sz w:val="20"/>
              </w:rPr>
              <w:t>2.60</w:t>
            </w:r>
          </w:p>
        </w:tc>
        <w:tc>
          <w:tcPr>
            <w:tcW w:type="dxa" w:w="1560"/>
          </w:tcPr>
          <w:p>
            <w:pPr>
              <w:jc w:val="center"/>
            </w:pPr>
            <w:r>
              <w:rPr>
                <w:rFonts w:ascii="Times New Roman" w:hAnsi="Times New Roman"/>
                <w:sz w:val="20"/>
              </w:rPr>
              <w:t>36.93</w:t>
            </w:r>
          </w:p>
        </w:tc>
      </w:tr>
      <w:tr>
        <w:tc>
          <w:tcPr>
            <w:tcW w:type="dxa" w:w="1560"/>
          </w:tcPr>
          <w:p>
            <w:pPr>
              <w:jc w:val="center"/>
            </w:pPr>
            <w:r>
              <w:rPr>
                <w:rFonts w:ascii="Times New Roman" w:hAnsi="Times New Roman"/>
                <w:sz w:val="20"/>
              </w:rPr>
              <w:t>Median</w:t>
            </w:r>
          </w:p>
        </w:tc>
        <w:tc>
          <w:tcPr>
            <w:tcW w:type="dxa" w:w="1560"/>
          </w:tcPr>
          <w:p>
            <w:pPr>
              <w:jc w:val="center"/>
            </w:pPr>
            <w:r>
              <w:rPr>
                <w:rFonts w:ascii="Times New Roman" w:hAnsi="Times New Roman"/>
                <w:sz w:val="20"/>
              </w:rPr>
              <w:t>20.53</w:t>
            </w:r>
          </w:p>
        </w:tc>
        <w:tc>
          <w:tcPr>
            <w:tcW w:type="dxa" w:w="1560"/>
          </w:tcPr>
          <w:p>
            <w:pPr>
              <w:jc w:val="center"/>
            </w:pPr>
            <w:r>
              <w:rPr>
                <w:rFonts w:ascii="Times New Roman" w:hAnsi="Times New Roman"/>
                <w:sz w:val="20"/>
              </w:rPr>
              <w:t>417.03</w:t>
            </w:r>
          </w:p>
        </w:tc>
        <w:tc>
          <w:tcPr>
            <w:tcW w:type="dxa" w:w="1560"/>
          </w:tcPr>
          <w:p>
            <w:pPr>
              <w:jc w:val="center"/>
            </w:pPr>
            <w:r>
              <w:rPr>
                <w:rFonts w:ascii="Times New Roman" w:hAnsi="Times New Roman"/>
                <w:sz w:val="20"/>
              </w:rPr>
              <w:t>1142.72</w:t>
            </w:r>
          </w:p>
        </w:tc>
        <w:tc>
          <w:tcPr>
            <w:tcW w:type="dxa" w:w="1560"/>
          </w:tcPr>
          <w:p>
            <w:pPr>
              <w:jc w:val="center"/>
            </w:pPr>
            <w:r>
              <w:rPr>
                <w:rFonts w:ascii="Times New Roman" w:hAnsi="Times New Roman"/>
                <w:sz w:val="20"/>
              </w:rPr>
              <w:t>2.73</w:t>
            </w:r>
          </w:p>
        </w:tc>
        <w:tc>
          <w:tcPr>
            <w:tcW w:type="dxa" w:w="1560"/>
          </w:tcPr>
          <w:p>
            <w:pPr>
              <w:jc w:val="center"/>
            </w:pPr>
            <w:r>
              <w:rPr>
                <w:rFonts w:ascii="Times New Roman" w:hAnsi="Times New Roman"/>
                <w:sz w:val="20"/>
              </w:rPr>
              <w:t>38.28</w:t>
            </w:r>
          </w:p>
        </w:tc>
      </w:tr>
      <w:tr>
        <w:tc>
          <w:tcPr>
            <w:tcW w:type="dxa" w:w="1560"/>
          </w:tcPr>
          <w:p>
            <w:pPr>
              <w:jc w:val="center"/>
            </w:pPr>
            <w:r>
              <w:rPr>
                <w:rFonts w:ascii="Times New Roman" w:hAnsi="Times New Roman"/>
                <w:sz w:val="20"/>
              </w:rPr>
              <w:t>75th %ile</w:t>
            </w:r>
          </w:p>
        </w:tc>
        <w:tc>
          <w:tcPr>
            <w:tcW w:type="dxa" w:w="1560"/>
          </w:tcPr>
          <w:p>
            <w:pPr>
              <w:jc w:val="center"/>
            </w:pPr>
            <w:r>
              <w:rPr>
                <w:rFonts w:ascii="Times New Roman" w:hAnsi="Times New Roman"/>
                <w:sz w:val="20"/>
              </w:rPr>
              <w:t>21.29</w:t>
            </w:r>
          </w:p>
        </w:tc>
        <w:tc>
          <w:tcPr>
            <w:tcW w:type="dxa" w:w="1560"/>
          </w:tcPr>
          <w:p>
            <w:pPr>
              <w:jc w:val="center"/>
            </w:pPr>
            <w:r>
              <w:rPr>
                <w:rFonts w:ascii="Times New Roman" w:hAnsi="Times New Roman"/>
                <w:sz w:val="20"/>
              </w:rPr>
              <w:t>432.17</w:t>
            </w:r>
          </w:p>
        </w:tc>
        <w:tc>
          <w:tcPr>
            <w:tcW w:type="dxa" w:w="1560"/>
          </w:tcPr>
          <w:p>
            <w:pPr>
              <w:jc w:val="center"/>
            </w:pPr>
            <w:r>
              <w:rPr>
                <w:rFonts w:ascii="Times New Roman" w:hAnsi="Times New Roman"/>
                <w:sz w:val="20"/>
              </w:rPr>
              <w:t>1215.62</w:t>
            </w:r>
          </w:p>
        </w:tc>
        <w:tc>
          <w:tcPr>
            <w:tcW w:type="dxa" w:w="1560"/>
          </w:tcPr>
          <w:p>
            <w:pPr>
              <w:jc w:val="center"/>
            </w:pPr>
            <w:r>
              <w:rPr>
                <w:rFonts w:ascii="Times New Roman" w:hAnsi="Times New Roman"/>
                <w:sz w:val="20"/>
              </w:rPr>
              <w:t>2.83</w:t>
            </w:r>
          </w:p>
        </w:tc>
        <w:tc>
          <w:tcPr>
            <w:tcW w:type="dxa" w:w="1560"/>
          </w:tcPr>
          <w:p>
            <w:pPr>
              <w:jc w:val="center"/>
            </w:pPr>
            <w:r>
              <w:rPr>
                <w:rFonts w:ascii="Times New Roman" w:hAnsi="Times New Roman"/>
                <w:sz w:val="20"/>
              </w:rPr>
              <w:t>38.87</w:t>
            </w:r>
          </w:p>
        </w:tc>
      </w:tr>
      <w:tr>
        <w:tc>
          <w:tcPr>
            <w:tcW w:type="dxa" w:w="1560"/>
          </w:tcPr>
          <w:p>
            <w:pPr>
              <w:jc w:val="center"/>
            </w:pPr>
            <w:r>
              <w:rPr>
                <w:rFonts w:ascii="Times New Roman" w:hAnsi="Times New Roman"/>
                <w:sz w:val="20"/>
              </w:rPr>
              <w:t>Max</w:t>
            </w:r>
          </w:p>
        </w:tc>
        <w:tc>
          <w:tcPr>
            <w:tcW w:type="dxa" w:w="1560"/>
          </w:tcPr>
          <w:p>
            <w:pPr>
              <w:jc w:val="center"/>
            </w:pPr>
            <w:r>
              <w:rPr>
                <w:rFonts w:ascii="Times New Roman" w:hAnsi="Times New Roman"/>
                <w:sz w:val="20"/>
              </w:rPr>
              <w:t>24.15</w:t>
            </w:r>
          </w:p>
        </w:tc>
        <w:tc>
          <w:tcPr>
            <w:tcW w:type="dxa" w:w="1560"/>
          </w:tcPr>
          <w:p>
            <w:pPr>
              <w:jc w:val="center"/>
            </w:pPr>
            <w:r>
              <w:rPr>
                <w:rFonts w:ascii="Times New Roman" w:hAnsi="Times New Roman"/>
                <w:sz w:val="20"/>
              </w:rPr>
              <w:t>479.60</w:t>
            </w:r>
          </w:p>
        </w:tc>
        <w:tc>
          <w:tcPr>
            <w:tcW w:type="dxa" w:w="1560"/>
          </w:tcPr>
          <w:p>
            <w:pPr>
              <w:jc w:val="center"/>
            </w:pPr>
            <w:r>
              <w:rPr>
                <w:rFonts w:ascii="Times New Roman" w:hAnsi="Times New Roman"/>
                <w:sz w:val="20"/>
              </w:rPr>
              <w:t>1512.94</w:t>
            </w:r>
          </w:p>
        </w:tc>
        <w:tc>
          <w:tcPr>
            <w:tcW w:type="dxa" w:w="1560"/>
          </w:tcPr>
          <w:p>
            <w:pPr>
              <w:jc w:val="center"/>
            </w:pPr>
            <w:r>
              <w:rPr>
                <w:rFonts w:ascii="Times New Roman" w:hAnsi="Times New Roman"/>
                <w:sz w:val="20"/>
              </w:rPr>
              <w:t>3.20</w:t>
            </w:r>
          </w:p>
        </w:tc>
        <w:tc>
          <w:tcPr>
            <w:tcW w:type="dxa" w:w="1560"/>
          </w:tcPr>
          <w:p>
            <w:pPr>
              <w:jc w:val="center"/>
            </w:pPr>
            <w:r>
              <w:rPr>
                <w:rFonts w:ascii="Times New Roman" w:hAnsi="Times New Roman"/>
                <w:sz w:val="20"/>
              </w:rPr>
              <w:t>43.27</w:t>
            </w:r>
          </w:p>
        </w:tc>
      </w:tr>
    </w:tbl>
    <w:p>
      <w:pPr>
        <w:spacing w:before="0" w:after="0" w:line="480" w:lineRule="auto"/>
        <w:ind w:firstLine="720"/>
        <w:jc w:val="both"/>
      </w:pPr>
      <w:r>
        <w:rPr>
          <w:rFonts w:ascii="Times New Roman" w:hAnsi="Times New Roman"/>
          <w:b/>
          <w:i w:val="0"/>
          <w:sz w:val="24"/>
        </w:rPr>
        <w:t xml:space="preserve">Overall Validation: </w:t>
      </w:r>
      <w:r>
        <w:rPr>
          <w:rFonts w:ascii="Times New Roman" w:hAnsi="Times New Roman"/>
          <w:b w:val="0"/>
          <w:i w:val="0"/>
          <w:sz w:val="24"/>
        </w:rPr>
        <w:t>736 designs (81.42%) pass all engineering constraints. 168 designs (18.58%) fail at least one constraint.</w:t>
      </w:r>
    </w:p>
    <w:p>
      <w:pPr>
        <w:pStyle w:val="Heading3"/>
        <w:spacing w:before="40" w:after="40"/>
      </w:pPr>
      <w:r>
        <w:rPr>
          <w:rFonts w:ascii="Times New Roman" w:hAnsi="Times New Roman"/>
          <w:color w:val="000000"/>
          <w:sz w:val="24"/>
        </w:rPr>
        <w:t>RQ1 Analysis: Constraint Violation Rates</w:t>
      </w:r>
    </w:p>
    <w:p>
      <w:pPr>
        <w:spacing w:before="0" w:after="0" w:line="480" w:lineRule="auto"/>
        <w:jc w:val="both"/>
      </w:pPr>
      <w:r>
        <w:rPr>
          <w:rFonts w:ascii="Times New Roman" w:hAnsi="Times New Roman"/>
          <w:b/>
          <w:i w:val="0"/>
          <w:sz w:val="24"/>
        </w:rPr>
        <w:t xml:space="preserve">Overall failure rate: 18.58% (95% CI: 16.18% – 21.25%). </w:t>
      </w:r>
      <w:r>
        <w:rPr>
          <w:rFonts w:ascii="Times New Roman" w:hAnsi="Times New Roman"/>
          <w:b w:val="0"/>
          <w:i w:val="0"/>
          <w:sz w:val="24"/>
        </w:rPr>
        <w:t xml:space="preserve">This rate is significantly below the hypothesized 25% threshold (H1). The upper confidence bound (21.25%) remains below 25%, providing strong statistical evidence that Hypothesis H1 is </w:t>
      </w:r>
      <w:r>
        <w:rPr>
          <w:rFonts w:ascii="Times New Roman" w:hAnsi="Times New Roman"/>
          <w:b/>
          <w:i w:val="0"/>
          <w:sz w:val="24"/>
        </w:rPr>
        <w:t xml:space="preserve">not confirmed. </w:t>
      </w:r>
      <w:r>
        <w:rPr>
          <w:rFonts w:ascii="Times New Roman" w:hAnsi="Times New Roman"/>
          <w:b w:val="0"/>
          <w:i w:val="0"/>
          <w:sz w:val="24"/>
        </w:rPr>
        <w:t>The DeepWheel generative model produces reasonably constraint-aware designs.</w:t>
      </w:r>
    </w:p>
    <w:p>
      <w:pPr>
        <w:spacing w:before="0" w:after="0" w:line="480" w:lineRule="auto"/>
        <w:ind w:firstLine="720"/>
        <w:jc w:val="both"/>
      </w:pPr>
      <w:r>
        <w:rPr>
          <w:rFonts w:ascii="Times New Roman" w:hAnsi="Times New Roman"/>
          <w:b w:val="0"/>
          <w:i w:val="0"/>
          <w:sz w:val="24"/>
        </w:rPr>
        <w:t>The constraint-specific violation breakdown is presented in Table 7.</w:t>
      </w:r>
    </w:p>
    <w:p>
      <w:pPr>
        <w:spacing w:before="80" w:after="0" w:line="240" w:lineRule="auto"/>
      </w:pPr>
      <w:r>
        <w:rPr>
          <w:rFonts w:ascii="Times New Roman" w:hAnsi="Times New Roman"/>
          <w:b/>
          <w:i/>
          <w:sz w:val="22"/>
        </w:rPr>
        <w:t>Table 7</w:t>
      </w:r>
    </w:p>
    <w:p>
      <w:pPr>
        <w:spacing w:before="0" w:after="40" w:line="240" w:lineRule="auto"/>
      </w:pPr>
      <w:r>
        <w:rPr>
          <w:rFonts w:ascii="Times New Roman" w:hAnsi="Times New Roman"/>
          <w:i/>
          <w:sz w:val="22"/>
        </w:rPr>
        <w:t>Constraint-Specific Violation Breakdown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jc w:val="center"/>
            </w:pPr>
            <w:r>
              <w:rPr>
                <w:rFonts w:ascii="Times New Roman" w:hAnsi="Times New Roman"/>
                <w:b/>
                <w:sz w:val="20"/>
              </w:rPr>
              <w:t>Constraint</w:t>
            </w:r>
          </w:p>
        </w:tc>
        <w:tc>
          <w:tcPr>
            <w:tcW w:type="dxa" w:w="3120"/>
            <w:shd w:fill="D9E2F3"/>
          </w:tcPr>
          <w:p>
            <w:pPr>
              <w:jc w:val="center"/>
            </w:pPr>
            <w:r>
              <w:rPr>
                <w:rFonts w:ascii="Times New Roman" w:hAnsi="Times New Roman"/>
                <w:b/>
                <w:sz w:val="20"/>
              </w:rPr>
              <w:t>Violations</w:t>
            </w:r>
          </w:p>
        </w:tc>
        <w:tc>
          <w:tcPr>
            <w:tcW w:type="dxa" w:w="3120"/>
            <w:shd w:fill="D9E2F3"/>
          </w:tcPr>
          <w:p>
            <w:pPr>
              <w:jc w:val="center"/>
            </w:pPr>
            <w:r>
              <w:rPr>
                <w:rFonts w:ascii="Times New Roman" w:hAnsi="Times New Roman"/>
                <w:b/>
                <w:sz w:val="20"/>
              </w:rPr>
              <w:t>Percentage</w:t>
            </w:r>
          </w:p>
        </w:tc>
      </w:tr>
      <w:tr>
        <w:tc>
          <w:tcPr>
            <w:tcW w:type="dxa" w:w="3120"/>
          </w:tcPr>
          <w:p>
            <w:pPr>
              <w:jc w:val="center"/>
            </w:pPr>
            <w:r>
              <w:rPr>
                <w:rFonts w:ascii="Times New Roman" w:hAnsi="Times New Roman"/>
                <w:sz w:val="20"/>
              </w:rPr>
              <w:t>Mode 11 Frequency (1000–1400 Hz)</w:t>
            </w:r>
          </w:p>
        </w:tc>
        <w:tc>
          <w:tcPr>
            <w:tcW w:type="dxa" w:w="3120"/>
          </w:tcPr>
          <w:p>
            <w:pPr>
              <w:jc w:val="center"/>
            </w:pPr>
            <w:r>
              <w:rPr>
                <w:rFonts w:ascii="Times New Roman" w:hAnsi="Times New Roman"/>
                <w:sz w:val="20"/>
              </w:rPr>
              <w:t>144</w:t>
            </w:r>
          </w:p>
        </w:tc>
        <w:tc>
          <w:tcPr>
            <w:tcW w:type="dxa" w:w="3120"/>
          </w:tcPr>
          <w:p>
            <w:pPr>
              <w:jc w:val="center"/>
            </w:pPr>
            <w:r>
              <w:rPr>
                <w:rFonts w:ascii="Times New Roman" w:hAnsi="Times New Roman"/>
                <w:sz w:val="20"/>
              </w:rPr>
              <w:t>15.93%</w:t>
            </w:r>
          </w:p>
        </w:tc>
      </w:tr>
      <w:tr>
        <w:tc>
          <w:tcPr>
            <w:tcW w:type="dxa" w:w="3120"/>
          </w:tcPr>
          <w:p>
            <w:pPr>
              <w:jc w:val="center"/>
            </w:pPr>
            <w:r>
              <w:rPr>
                <w:rFonts w:ascii="Times New Roman" w:hAnsi="Times New Roman"/>
                <w:sz w:val="20"/>
              </w:rPr>
              <w:t>Stiffness Ratio (2.5–3.2)</w:t>
            </w:r>
          </w:p>
        </w:tc>
        <w:tc>
          <w:tcPr>
            <w:tcW w:type="dxa" w:w="3120"/>
          </w:tcPr>
          <w:p>
            <w:pPr>
              <w:jc w:val="center"/>
            </w:pPr>
            <w:r>
              <w:rPr>
                <w:rFonts w:ascii="Times New Roman" w:hAnsi="Times New Roman"/>
                <w:sz w:val="20"/>
              </w:rPr>
              <w:t>121</w:t>
            </w:r>
          </w:p>
        </w:tc>
        <w:tc>
          <w:tcPr>
            <w:tcW w:type="dxa" w:w="3120"/>
          </w:tcPr>
          <w:p>
            <w:pPr>
              <w:jc w:val="center"/>
            </w:pPr>
            <w:r>
              <w:rPr>
                <w:rFonts w:ascii="Times New Roman" w:hAnsi="Times New Roman"/>
                <w:sz w:val="20"/>
              </w:rPr>
              <w:t>13.38%</w:t>
            </w:r>
          </w:p>
        </w:tc>
      </w:tr>
      <w:tr>
        <w:tc>
          <w:tcPr>
            <w:tcW w:type="dxa" w:w="3120"/>
          </w:tcPr>
          <w:p>
            <w:pPr>
              <w:jc w:val="center"/>
            </w:pPr>
            <w:r>
              <w:rPr>
                <w:rFonts w:ascii="Times New Roman" w:hAnsi="Times New Roman"/>
                <w:sz w:val="20"/>
              </w:rPr>
              <w:t>Mode 7 Frequency (380–470 Hz)</w:t>
            </w:r>
          </w:p>
        </w:tc>
        <w:tc>
          <w:tcPr>
            <w:tcW w:type="dxa" w:w="3120"/>
          </w:tcPr>
          <w:p>
            <w:pPr>
              <w:jc w:val="center"/>
            </w:pPr>
            <w:r>
              <w:rPr>
                <w:rFonts w:ascii="Times New Roman" w:hAnsi="Times New Roman"/>
                <w:sz w:val="20"/>
              </w:rPr>
              <w:t>36</w:t>
            </w:r>
          </w:p>
        </w:tc>
        <w:tc>
          <w:tcPr>
            <w:tcW w:type="dxa" w:w="3120"/>
          </w:tcPr>
          <w:p>
            <w:pPr>
              <w:jc w:val="center"/>
            </w:pPr>
            <w:r>
              <w:rPr>
                <w:rFonts w:ascii="Times New Roman" w:hAnsi="Times New Roman"/>
                <w:sz w:val="20"/>
              </w:rPr>
              <w:t>3.98%</w:t>
            </w:r>
          </w:p>
        </w:tc>
      </w:tr>
      <w:tr>
        <w:tc>
          <w:tcPr>
            <w:tcW w:type="dxa" w:w="3120"/>
          </w:tcPr>
          <w:p>
            <w:pPr>
              <w:jc w:val="center"/>
            </w:pPr>
            <w:r>
              <w:rPr>
                <w:rFonts w:ascii="Times New Roman" w:hAnsi="Times New Roman"/>
                <w:sz w:val="20"/>
              </w:rPr>
              <w:t>Mass (18.0–23.0 kg)</w:t>
            </w:r>
          </w:p>
        </w:tc>
        <w:tc>
          <w:tcPr>
            <w:tcW w:type="dxa" w:w="3120"/>
          </w:tcPr>
          <w:p>
            <w:pPr>
              <w:jc w:val="center"/>
            </w:pPr>
            <w:r>
              <w:rPr>
                <w:rFonts w:ascii="Times New Roman" w:hAnsi="Times New Roman"/>
                <w:sz w:val="20"/>
              </w:rPr>
              <w:t>21</w:t>
            </w:r>
          </w:p>
        </w:tc>
        <w:tc>
          <w:tcPr>
            <w:tcW w:type="dxa" w:w="3120"/>
          </w:tcPr>
          <w:p>
            <w:pPr>
              <w:jc w:val="center"/>
            </w:pPr>
            <w:r>
              <w:rPr>
                <w:rFonts w:ascii="Times New Roman" w:hAnsi="Times New Roman"/>
                <w:sz w:val="20"/>
              </w:rPr>
              <w:t>2.32%</w:t>
            </w:r>
          </w:p>
        </w:tc>
      </w:tr>
    </w:tbl>
    <w:p>
      <w:pPr>
        <w:spacing w:before="0" w:after="0" w:line="480" w:lineRule="auto"/>
        <w:ind w:firstLine="720"/>
        <w:jc w:val="both"/>
      </w:pPr>
      <w:r>
        <w:rPr>
          <w:rFonts w:ascii="Times New Roman" w:hAnsi="Times New Roman"/>
          <w:b w:val="0"/>
          <w:i w:val="0"/>
          <w:sz w:val="24"/>
        </w:rPr>
        <w:t>As shown in Table 7, Mode 11 Frequency is the primary source of validation failures (15.93%), suggesting the DeepWheel model struggles to maintain adequate high-frequency stiffness. The Stiffness Ratio constraint (13.38%) is partially correlated with Mode 11 failures. Mass (2.32%) and Mode 7 Frequency (3.98%) are well-controlled by the generative model. Figure 1 provides a visual representation of these constraint violation patterns.</w:t>
      </w:r>
    </w:p>
    <w:p>
      <w:pPr>
        <w:jc w:val="center"/>
      </w:pPr>
      <w:r>
        <w:drawing>
          <wp:inline xmlns:a="http://schemas.openxmlformats.org/drawingml/2006/main" xmlns:pic="http://schemas.openxmlformats.org/drawingml/2006/picture">
            <wp:extent cx="4389120" cy="3130576"/>
            <wp:docPr id="1" name="Picture 1"/>
            <wp:cNvGraphicFramePr>
              <a:graphicFrameLocks noChangeAspect="1"/>
            </wp:cNvGraphicFramePr>
            <a:graphic>
              <a:graphicData uri="http://schemas.openxmlformats.org/drawingml/2006/picture">
                <pic:pic>
                  <pic:nvPicPr>
                    <pic:cNvPr id="0" name="rq1_visualizations.png"/>
                    <pic:cNvPicPr/>
                  </pic:nvPicPr>
                  <pic:blipFill>
                    <a:blip r:embed="rId9"/>
                    <a:stretch>
                      <a:fillRect/>
                    </a:stretch>
                  </pic:blipFill>
                  <pic:spPr>
                    <a:xfrm>
                      <a:off x="0" y="0"/>
                      <a:ext cx="4389120" cy="3130576"/>
                    </a:xfrm>
                    <a:prstGeom prst="rect"/>
                  </pic:spPr>
                </pic:pic>
              </a:graphicData>
            </a:graphic>
          </wp:inline>
        </w:drawing>
      </w:r>
    </w:p>
    <w:p>
      <w:pPr>
        <w:spacing w:before="40" w:after="80" w:line="240" w:lineRule="auto"/>
        <w:jc w:val="both"/>
      </w:pPr>
      <w:r>
        <w:rPr>
          <w:rFonts w:ascii="Times New Roman" w:hAnsi="Times New Roman"/>
          <w:b/>
          <w:i/>
          <w:sz w:val="22"/>
        </w:rPr>
        <w:t xml:space="preserve">Figure 1. </w:t>
      </w:r>
      <w:r>
        <w:rPr>
          <w:rFonts w:ascii="Times New Roman" w:hAnsi="Times New Roman"/>
          <w:i/>
          <w:sz w:val="22"/>
        </w:rPr>
        <w:t>RQ1 Constraint Violation Analysis. (a) Overall validation outcomes showing 81.4% pass rate. (b) Constraint-specific violations identifying Mode 11 Frequency as the primary failure source (144 violations). (c) Mass distribution demonstrating strong adherence to the 18–23 kg constraint. (d) Mode 11 distribution showing significant spread outside the 1000–1400 Hz constraint bounds.</w:t>
      </w:r>
    </w:p>
    <w:p>
      <w:pPr>
        <w:pStyle w:val="Heading3"/>
        <w:spacing w:before="40" w:after="40"/>
      </w:pPr>
      <w:r>
        <w:rPr>
          <w:rFonts w:ascii="Times New Roman" w:hAnsi="Times New Roman"/>
          <w:color w:val="000000"/>
          <w:sz w:val="24"/>
        </w:rPr>
        <w:t>RQ2 Analysis: Feature Importance</w:t>
      </w:r>
    </w:p>
    <w:p>
      <w:pPr>
        <w:spacing w:before="0" w:after="0" w:line="480" w:lineRule="auto"/>
        <w:ind w:firstLine="720"/>
        <w:jc w:val="both"/>
      </w:pPr>
      <w:r>
        <w:rPr>
          <w:rFonts w:ascii="Times New Roman" w:hAnsi="Times New Roman"/>
          <w:b w:val="0"/>
          <w:i w:val="0"/>
          <w:sz w:val="24"/>
        </w:rPr>
        <w:t>Point-biserial correlations (Table 8, all p &lt; 0.0001) and group comparisons confirm all features differ significantly between valid and invalid designs, with Mode 11 showing the largest separation (valid: 1164 Hz vs. invalid: 1007 Hz, t = 19.07).</w:t>
      </w:r>
    </w:p>
    <w:p>
      <w:pPr>
        <w:spacing w:before="80" w:after="0" w:line="240" w:lineRule="auto"/>
      </w:pPr>
      <w:r>
        <w:rPr>
          <w:rFonts w:ascii="Times New Roman" w:hAnsi="Times New Roman"/>
          <w:b/>
          <w:i/>
          <w:sz w:val="22"/>
        </w:rPr>
        <w:t>Table 8</w:t>
      </w:r>
    </w:p>
    <w:p>
      <w:pPr>
        <w:spacing w:before="0" w:after="40" w:line="240" w:lineRule="auto"/>
      </w:pPr>
      <w:r>
        <w:rPr>
          <w:rFonts w:ascii="Times New Roman" w:hAnsi="Times New Roman"/>
          <w:i/>
          <w:sz w:val="22"/>
        </w:rPr>
        <w:t>Point-Biserial Correlations Between Features and Validation Outcome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jc w:val="center"/>
            </w:pPr>
            <w:r>
              <w:rPr>
                <w:rFonts w:ascii="Times New Roman" w:hAnsi="Times New Roman"/>
                <w:b/>
                <w:sz w:val="20"/>
              </w:rPr>
              <w:t>Feature</w:t>
            </w:r>
          </w:p>
        </w:tc>
        <w:tc>
          <w:tcPr>
            <w:tcW w:type="dxa" w:w="2340"/>
            <w:shd w:fill="D9E2F3"/>
          </w:tcPr>
          <w:p>
            <w:pPr>
              <w:jc w:val="center"/>
            </w:pPr>
            <w:r>
              <w:rPr>
                <w:rFonts w:ascii="Times New Roman" w:hAnsi="Times New Roman"/>
                <w:b/>
                <w:sz w:val="20"/>
              </w:rPr>
              <w:t>Correlation (r)</w:t>
            </w:r>
          </w:p>
        </w:tc>
        <w:tc>
          <w:tcPr>
            <w:tcW w:type="dxa" w:w="2340"/>
            <w:shd w:fill="D9E2F3"/>
          </w:tcPr>
          <w:p>
            <w:pPr>
              <w:jc w:val="center"/>
            </w:pPr>
            <w:r>
              <w:rPr>
                <w:rFonts w:ascii="Times New Roman" w:hAnsi="Times New Roman"/>
                <w:b/>
                <w:sz w:val="20"/>
              </w:rPr>
              <w:t>P-value</w:t>
            </w:r>
          </w:p>
        </w:tc>
        <w:tc>
          <w:tcPr>
            <w:tcW w:type="dxa" w:w="2340"/>
            <w:shd w:fill="D9E2F3"/>
          </w:tcPr>
          <w:p>
            <w:pPr>
              <w:jc w:val="center"/>
            </w:pPr>
            <w:r>
              <w:rPr>
                <w:rFonts w:ascii="Times New Roman" w:hAnsi="Times New Roman"/>
                <w:b/>
                <w:sz w:val="20"/>
              </w:rPr>
              <w:t>Significance</w:t>
            </w:r>
          </w:p>
        </w:tc>
      </w:tr>
      <w:tr>
        <w:tc>
          <w:tcPr>
            <w:tcW w:type="dxa" w:w="2340"/>
          </w:tcPr>
          <w:p>
            <w:pPr>
              <w:jc w:val="center"/>
            </w:pPr>
            <w:r>
              <w:rPr>
                <w:rFonts w:ascii="Times New Roman" w:hAnsi="Times New Roman"/>
                <w:sz w:val="20"/>
              </w:rPr>
              <w:t>Mass Efficiency</w:t>
            </w:r>
          </w:p>
        </w:tc>
        <w:tc>
          <w:tcPr>
            <w:tcW w:type="dxa" w:w="2340"/>
          </w:tcPr>
          <w:p>
            <w:pPr>
              <w:jc w:val="center"/>
            </w:pPr>
            <w:r>
              <w:rPr>
                <w:rFonts w:ascii="Times New Roman" w:hAnsi="Times New Roman"/>
                <w:sz w:val="20"/>
              </w:rPr>
              <w:t>0.598</w:t>
            </w:r>
          </w:p>
        </w:tc>
        <w:tc>
          <w:tcPr>
            <w:tcW w:type="dxa" w:w="2340"/>
          </w:tcPr>
          <w:p>
            <w:pPr>
              <w:jc w:val="center"/>
            </w:pPr>
            <w:r>
              <w:rPr>
                <w:rFonts w:ascii="Times New Roman" w:hAnsi="Times New Roman"/>
                <w:sz w:val="20"/>
              </w:rPr>
              <w:t>&lt;0.0001</w:t>
            </w:r>
          </w:p>
        </w:tc>
        <w:tc>
          <w:tcPr>
            <w:tcW w:type="dxa" w:w="2340"/>
          </w:tcPr>
          <w:p>
            <w:pPr>
              <w:jc w:val="center"/>
            </w:pPr>
            <w:r>
              <w:rPr>
                <w:rFonts w:ascii="Times New Roman" w:hAnsi="Times New Roman"/>
                <w:sz w:val="20"/>
              </w:rPr>
              <w:t>***</w:t>
            </w:r>
          </w:p>
        </w:tc>
      </w:tr>
      <w:tr>
        <w:tc>
          <w:tcPr>
            <w:tcW w:type="dxa" w:w="2340"/>
          </w:tcPr>
          <w:p>
            <w:pPr>
              <w:jc w:val="center"/>
            </w:pPr>
            <w:r>
              <w:rPr>
                <w:rFonts w:ascii="Times New Roman" w:hAnsi="Times New Roman"/>
                <w:sz w:val="20"/>
              </w:rPr>
              <w:t>Stiffness Ratio</w:t>
            </w:r>
          </w:p>
        </w:tc>
        <w:tc>
          <w:tcPr>
            <w:tcW w:type="dxa" w:w="2340"/>
          </w:tcPr>
          <w:p>
            <w:pPr>
              <w:jc w:val="center"/>
            </w:pPr>
            <w:r>
              <w:rPr>
                <w:rFonts w:ascii="Times New Roman" w:hAnsi="Times New Roman"/>
                <w:sz w:val="20"/>
              </w:rPr>
              <w:t>0.579</w:t>
            </w:r>
          </w:p>
        </w:tc>
        <w:tc>
          <w:tcPr>
            <w:tcW w:type="dxa" w:w="2340"/>
          </w:tcPr>
          <w:p>
            <w:pPr>
              <w:jc w:val="center"/>
            </w:pPr>
            <w:r>
              <w:rPr>
                <w:rFonts w:ascii="Times New Roman" w:hAnsi="Times New Roman"/>
                <w:sz w:val="20"/>
              </w:rPr>
              <w:t>&lt;0.0001</w:t>
            </w:r>
          </w:p>
        </w:tc>
        <w:tc>
          <w:tcPr>
            <w:tcW w:type="dxa" w:w="2340"/>
          </w:tcPr>
          <w:p>
            <w:pPr>
              <w:jc w:val="center"/>
            </w:pPr>
            <w:r>
              <w:rPr>
                <w:rFonts w:ascii="Times New Roman" w:hAnsi="Times New Roman"/>
                <w:sz w:val="20"/>
              </w:rPr>
              <w:t>***</w:t>
            </w:r>
          </w:p>
        </w:tc>
      </w:tr>
      <w:tr>
        <w:tc>
          <w:tcPr>
            <w:tcW w:type="dxa" w:w="2340"/>
          </w:tcPr>
          <w:p>
            <w:pPr>
              <w:jc w:val="center"/>
            </w:pPr>
            <w:r>
              <w:rPr>
                <w:rFonts w:ascii="Times New Roman" w:hAnsi="Times New Roman"/>
                <w:sz w:val="20"/>
              </w:rPr>
              <w:t>Mode11_Freq</w:t>
            </w:r>
          </w:p>
        </w:tc>
        <w:tc>
          <w:tcPr>
            <w:tcW w:type="dxa" w:w="2340"/>
          </w:tcPr>
          <w:p>
            <w:pPr>
              <w:jc w:val="center"/>
            </w:pPr>
            <w:r>
              <w:rPr>
                <w:rFonts w:ascii="Times New Roman" w:hAnsi="Times New Roman"/>
                <w:sz w:val="20"/>
              </w:rPr>
              <w:t>0.536</w:t>
            </w:r>
          </w:p>
        </w:tc>
        <w:tc>
          <w:tcPr>
            <w:tcW w:type="dxa" w:w="2340"/>
          </w:tcPr>
          <w:p>
            <w:pPr>
              <w:jc w:val="center"/>
            </w:pPr>
            <w:r>
              <w:rPr>
                <w:rFonts w:ascii="Times New Roman" w:hAnsi="Times New Roman"/>
                <w:sz w:val="20"/>
              </w:rPr>
              <w:t>&lt;0.0001</w:t>
            </w:r>
          </w:p>
        </w:tc>
        <w:tc>
          <w:tcPr>
            <w:tcW w:type="dxa" w:w="2340"/>
          </w:tcPr>
          <w:p>
            <w:pPr>
              <w:jc w:val="center"/>
            </w:pPr>
            <w:r>
              <w:rPr>
                <w:rFonts w:ascii="Times New Roman" w:hAnsi="Times New Roman"/>
                <w:sz w:val="20"/>
              </w:rPr>
              <w:t>***</w:t>
            </w:r>
          </w:p>
        </w:tc>
      </w:tr>
      <w:tr>
        <w:tc>
          <w:tcPr>
            <w:tcW w:type="dxa" w:w="2340"/>
          </w:tcPr>
          <w:p>
            <w:pPr>
              <w:jc w:val="center"/>
            </w:pPr>
            <w:r>
              <w:rPr>
                <w:rFonts w:ascii="Times New Roman" w:hAnsi="Times New Roman"/>
                <w:sz w:val="20"/>
              </w:rPr>
              <w:t>Mode7_Freq</w:t>
            </w:r>
          </w:p>
        </w:tc>
        <w:tc>
          <w:tcPr>
            <w:tcW w:type="dxa" w:w="2340"/>
          </w:tcPr>
          <w:p>
            <w:pPr>
              <w:jc w:val="center"/>
            </w:pPr>
            <w:r>
              <w:rPr>
                <w:rFonts w:ascii="Times New Roman" w:hAnsi="Times New Roman"/>
                <w:sz w:val="20"/>
              </w:rPr>
              <w:t>0.440</w:t>
            </w:r>
          </w:p>
        </w:tc>
        <w:tc>
          <w:tcPr>
            <w:tcW w:type="dxa" w:w="2340"/>
          </w:tcPr>
          <w:p>
            <w:pPr>
              <w:jc w:val="center"/>
            </w:pPr>
            <w:r>
              <w:rPr>
                <w:rFonts w:ascii="Times New Roman" w:hAnsi="Times New Roman"/>
                <w:sz w:val="20"/>
              </w:rPr>
              <w:t>&lt;0.0001</w:t>
            </w:r>
          </w:p>
        </w:tc>
        <w:tc>
          <w:tcPr>
            <w:tcW w:type="dxa" w:w="2340"/>
          </w:tcPr>
          <w:p>
            <w:pPr>
              <w:jc w:val="center"/>
            </w:pPr>
            <w:r>
              <w:rPr>
                <w:rFonts w:ascii="Times New Roman" w:hAnsi="Times New Roman"/>
                <w:sz w:val="20"/>
              </w:rPr>
              <w:t>***</w:t>
            </w:r>
          </w:p>
        </w:tc>
      </w:tr>
      <w:tr>
        <w:tc>
          <w:tcPr>
            <w:tcW w:type="dxa" w:w="2340"/>
          </w:tcPr>
          <w:p>
            <w:pPr>
              <w:jc w:val="center"/>
            </w:pPr>
            <w:r>
              <w:rPr>
                <w:rFonts w:ascii="Times New Roman" w:hAnsi="Times New Roman"/>
                <w:sz w:val="20"/>
              </w:rPr>
              <w:t>Mass</w:t>
            </w:r>
          </w:p>
        </w:tc>
        <w:tc>
          <w:tcPr>
            <w:tcW w:type="dxa" w:w="2340"/>
          </w:tcPr>
          <w:p>
            <w:pPr>
              <w:jc w:val="center"/>
            </w:pPr>
            <w:r>
              <w:rPr>
                <w:rFonts w:ascii="Times New Roman" w:hAnsi="Times New Roman"/>
                <w:sz w:val="20"/>
              </w:rPr>
              <w:t>0.396</w:t>
            </w:r>
          </w:p>
        </w:tc>
        <w:tc>
          <w:tcPr>
            <w:tcW w:type="dxa" w:w="2340"/>
          </w:tcPr>
          <w:p>
            <w:pPr>
              <w:jc w:val="center"/>
            </w:pPr>
            <w:r>
              <w:rPr>
                <w:rFonts w:ascii="Times New Roman" w:hAnsi="Times New Roman"/>
                <w:sz w:val="20"/>
              </w:rPr>
              <w:t>&lt;0.0001</w:t>
            </w:r>
          </w:p>
        </w:tc>
        <w:tc>
          <w:tcPr>
            <w:tcW w:type="dxa" w:w="2340"/>
          </w:tcPr>
          <w:p>
            <w:pPr>
              <w:jc w:val="center"/>
            </w:pPr>
            <w:r>
              <w:rPr>
                <w:rFonts w:ascii="Times New Roman" w:hAnsi="Times New Roman"/>
                <w:sz w:val="20"/>
              </w:rPr>
              <w:t>***</w:t>
            </w:r>
          </w:p>
        </w:tc>
      </w:tr>
    </w:tbl>
    <w:p>
      <w:pPr>
        <w:spacing w:before="0" w:after="0" w:line="480" w:lineRule="auto"/>
        <w:ind w:firstLine="720"/>
        <w:jc w:val="both"/>
      </w:pPr>
      <w:r>
        <w:rPr>
          <w:rFonts w:ascii="Times New Roman" w:hAnsi="Times New Roman"/>
          <w:b w:val="0"/>
          <w:i w:val="0"/>
          <w:sz w:val="24"/>
        </w:rPr>
        <w:t>Normalized metrics (mass efficiency r = 0.598, stiffness ratio r = 0.579) outperform raw measurements. Random Forest feature importance (Table 9) confirms Mode 11 (41.35%) and Stiffness Ratio (29.69%) account for 71% of importance, confirming H2. Figure 2 visualizes these patterns.</w:t>
      </w:r>
    </w:p>
    <w:p>
      <w:pPr>
        <w:spacing w:before="80" w:after="0" w:line="240" w:lineRule="auto"/>
      </w:pPr>
      <w:r>
        <w:rPr>
          <w:rFonts w:ascii="Times New Roman" w:hAnsi="Times New Roman"/>
          <w:b/>
          <w:i/>
          <w:sz w:val="22"/>
        </w:rPr>
        <w:t>Table 9</w:t>
      </w:r>
    </w:p>
    <w:p>
      <w:pPr>
        <w:spacing w:before="0" w:after="40" w:line="240" w:lineRule="auto"/>
      </w:pPr>
      <w:r>
        <w:rPr>
          <w:rFonts w:ascii="Times New Roman" w:hAnsi="Times New Roman"/>
          <w:i/>
          <w:sz w:val="22"/>
        </w:rPr>
        <w:t>Random Forest Feature Importance for Validation Prediction</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jc w:val="center"/>
            </w:pPr>
            <w:r>
              <w:rPr>
                <w:rFonts w:ascii="Times New Roman" w:hAnsi="Times New Roman"/>
                <w:b/>
                <w:sz w:val="20"/>
              </w:rPr>
              <w:t>Feature</w:t>
            </w:r>
          </w:p>
        </w:tc>
        <w:tc>
          <w:tcPr>
            <w:tcW w:type="dxa" w:w="4680"/>
            <w:shd w:fill="D9E2F3"/>
          </w:tcPr>
          <w:p>
            <w:pPr>
              <w:jc w:val="center"/>
            </w:pPr>
            <w:r>
              <w:rPr>
                <w:rFonts w:ascii="Times New Roman" w:hAnsi="Times New Roman"/>
                <w:b/>
                <w:sz w:val="20"/>
              </w:rPr>
              <w:t>Importance (%)</w:t>
            </w:r>
          </w:p>
        </w:tc>
      </w:tr>
      <w:tr>
        <w:tc>
          <w:tcPr>
            <w:tcW w:type="dxa" w:w="4680"/>
          </w:tcPr>
          <w:p>
            <w:pPr>
              <w:jc w:val="center"/>
            </w:pPr>
            <w:r>
              <w:rPr>
                <w:rFonts w:ascii="Times New Roman" w:hAnsi="Times New Roman"/>
                <w:sz w:val="20"/>
              </w:rPr>
              <w:t>Mode11_Freq</w:t>
            </w:r>
          </w:p>
        </w:tc>
        <w:tc>
          <w:tcPr>
            <w:tcW w:type="dxa" w:w="4680"/>
          </w:tcPr>
          <w:p>
            <w:pPr>
              <w:jc w:val="center"/>
            </w:pPr>
            <w:r>
              <w:rPr>
                <w:rFonts w:ascii="Times New Roman" w:hAnsi="Times New Roman"/>
                <w:sz w:val="20"/>
              </w:rPr>
              <w:t>41.35%</w:t>
            </w:r>
          </w:p>
        </w:tc>
      </w:tr>
      <w:tr>
        <w:tc>
          <w:tcPr>
            <w:tcW w:type="dxa" w:w="4680"/>
          </w:tcPr>
          <w:p>
            <w:pPr>
              <w:jc w:val="center"/>
            </w:pPr>
            <w:r>
              <w:rPr>
                <w:rFonts w:ascii="Times New Roman" w:hAnsi="Times New Roman"/>
                <w:sz w:val="20"/>
              </w:rPr>
              <w:t>Stiffness Ratio</w:t>
            </w:r>
          </w:p>
        </w:tc>
        <w:tc>
          <w:tcPr>
            <w:tcW w:type="dxa" w:w="4680"/>
          </w:tcPr>
          <w:p>
            <w:pPr>
              <w:jc w:val="center"/>
            </w:pPr>
            <w:r>
              <w:rPr>
                <w:rFonts w:ascii="Times New Roman" w:hAnsi="Times New Roman"/>
                <w:sz w:val="20"/>
              </w:rPr>
              <w:t>29.69%</w:t>
            </w:r>
          </w:p>
        </w:tc>
      </w:tr>
      <w:tr>
        <w:tc>
          <w:tcPr>
            <w:tcW w:type="dxa" w:w="4680"/>
          </w:tcPr>
          <w:p>
            <w:pPr>
              <w:jc w:val="center"/>
            </w:pPr>
            <w:r>
              <w:rPr>
                <w:rFonts w:ascii="Times New Roman" w:hAnsi="Times New Roman"/>
                <w:sz w:val="20"/>
              </w:rPr>
              <w:t>Mode7_Freq</w:t>
            </w:r>
          </w:p>
        </w:tc>
        <w:tc>
          <w:tcPr>
            <w:tcW w:type="dxa" w:w="4680"/>
          </w:tcPr>
          <w:p>
            <w:pPr>
              <w:jc w:val="center"/>
            </w:pPr>
            <w:r>
              <w:rPr>
                <w:rFonts w:ascii="Times New Roman" w:hAnsi="Times New Roman"/>
                <w:sz w:val="20"/>
              </w:rPr>
              <w:t>12.89%</w:t>
            </w:r>
          </w:p>
        </w:tc>
      </w:tr>
      <w:tr>
        <w:tc>
          <w:tcPr>
            <w:tcW w:type="dxa" w:w="4680"/>
          </w:tcPr>
          <w:p>
            <w:pPr>
              <w:jc w:val="center"/>
            </w:pPr>
            <w:r>
              <w:rPr>
                <w:rFonts w:ascii="Times New Roman" w:hAnsi="Times New Roman"/>
                <w:sz w:val="20"/>
              </w:rPr>
              <w:t>Mass Efficiency</w:t>
            </w:r>
          </w:p>
        </w:tc>
        <w:tc>
          <w:tcPr>
            <w:tcW w:type="dxa" w:w="4680"/>
          </w:tcPr>
          <w:p>
            <w:pPr>
              <w:jc w:val="center"/>
            </w:pPr>
            <w:r>
              <w:rPr>
                <w:rFonts w:ascii="Times New Roman" w:hAnsi="Times New Roman"/>
                <w:sz w:val="20"/>
              </w:rPr>
              <w:t>8.10%</w:t>
            </w:r>
          </w:p>
        </w:tc>
      </w:tr>
      <w:tr>
        <w:tc>
          <w:tcPr>
            <w:tcW w:type="dxa" w:w="4680"/>
          </w:tcPr>
          <w:p>
            <w:pPr>
              <w:jc w:val="center"/>
            </w:pPr>
            <w:r>
              <w:rPr>
                <w:rFonts w:ascii="Times New Roman" w:hAnsi="Times New Roman"/>
                <w:sz w:val="20"/>
              </w:rPr>
              <w:t>Mass</w:t>
            </w:r>
          </w:p>
        </w:tc>
        <w:tc>
          <w:tcPr>
            <w:tcW w:type="dxa" w:w="4680"/>
          </w:tcPr>
          <w:p>
            <w:pPr>
              <w:jc w:val="center"/>
            </w:pPr>
            <w:r>
              <w:rPr>
                <w:rFonts w:ascii="Times New Roman" w:hAnsi="Times New Roman"/>
                <w:sz w:val="20"/>
              </w:rPr>
              <w:t>7.97%</w:t>
            </w:r>
          </w:p>
        </w:tc>
      </w:tr>
    </w:tbl>
    <w:p>
      <w:pPr>
        <w:pStyle w:val="Heading3"/>
        <w:spacing w:before="40" w:after="40"/>
      </w:pPr>
      <w:r>
        <w:rPr>
          <w:rFonts w:ascii="Times New Roman" w:hAnsi="Times New Roman"/>
          <w:color w:val="000000"/>
          <w:sz w:val="24"/>
        </w:rPr>
        <w:t>Group Comparison: Valid vs. Invalid Designs</w:t>
      </w:r>
    </w:p>
    <w:p>
      <w:pPr>
        <w:spacing w:before="0" w:after="0" w:line="480" w:lineRule="auto"/>
        <w:ind w:firstLine="720"/>
        <w:jc w:val="both"/>
      </w:pPr>
      <w:r>
        <w:rPr>
          <w:rFonts w:ascii="Times New Roman" w:hAnsi="Times New Roman"/>
          <w:b w:val="0"/>
          <w:i w:val="0"/>
          <w:sz w:val="24"/>
        </w:rPr>
        <w:t>Table 10 presents the group comparison between valid and invalid designs across all continuous features.</w:t>
      </w:r>
    </w:p>
    <w:p>
      <w:pPr>
        <w:spacing w:before="80" w:after="0" w:line="240" w:lineRule="auto"/>
      </w:pPr>
      <w:r>
        <w:rPr>
          <w:rFonts w:ascii="Times New Roman" w:hAnsi="Times New Roman"/>
          <w:b/>
          <w:i/>
          <w:sz w:val="22"/>
        </w:rPr>
        <w:t>Table 10</w:t>
      </w:r>
    </w:p>
    <w:p>
      <w:pPr>
        <w:spacing w:before="0" w:after="40" w:line="240" w:lineRule="auto"/>
      </w:pPr>
      <w:r>
        <w:rPr>
          <w:rFonts w:ascii="Times New Roman" w:hAnsi="Times New Roman"/>
          <w:i/>
          <w:sz w:val="22"/>
        </w:rPr>
        <w:t>Group Comparison: Valid vs. Invalid Designs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jc w:val="center"/>
            </w:pPr>
            <w:r>
              <w:rPr>
                <w:rFonts w:ascii="Times New Roman" w:hAnsi="Times New Roman"/>
                <w:b/>
                <w:sz w:val="20"/>
              </w:rPr>
              <w:t>Feature</w:t>
            </w:r>
          </w:p>
        </w:tc>
        <w:tc>
          <w:tcPr>
            <w:tcW w:type="dxa" w:w="1872"/>
            <w:shd w:fill="D9E2F3"/>
          </w:tcPr>
          <w:p>
            <w:pPr>
              <w:jc w:val="center"/>
            </w:pPr>
            <w:r>
              <w:rPr>
                <w:rFonts w:ascii="Times New Roman" w:hAnsi="Times New Roman"/>
                <w:b/>
                <w:sz w:val="20"/>
              </w:rPr>
              <w:t>Valid (n=736)</w:t>
            </w:r>
          </w:p>
        </w:tc>
        <w:tc>
          <w:tcPr>
            <w:tcW w:type="dxa" w:w="1872"/>
            <w:shd w:fill="D9E2F3"/>
          </w:tcPr>
          <w:p>
            <w:pPr>
              <w:jc w:val="center"/>
            </w:pPr>
            <w:r>
              <w:rPr>
                <w:rFonts w:ascii="Times New Roman" w:hAnsi="Times New Roman"/>
                <w:b/>
                <w:sz w:val="20"/>
              </w:rPr>
              <w:t>Invalid (n=168)</w:t>
            </w:r>
          </w:p>
        </w:tc>
        <w:tc>
          <w:tcPr>
            <w:tcW w:type="dxa" w:w="1872"/>
            <w:shd w:fill="D9E2F3"/>
          </w:tcPr>
          <w:p>
            <w:pPr>
              <w:jc w:val="center"/>
            </w:pPr>
            <w:r>
              <w:rPr>
                <w:rFonts w:ascii="Times New Roman" w:hAnsi="Times New Roman"/>
                <w:b/>
                <w:sz w:val="20"/>
              </w:rPr>
              <w:t>t-statistic</w:t>
            </w:r>
          </w:p>
        </w:tc>
        <w:tc>
          <w:tcPr>
            <w:tcW w:type="dxa" w:w="1872"/>
            <w:shd w:fill="D9E2F3"/>
          </w:tcPr>
          <w:p>
            <w:pPr>
              <w:jc w:val="center"/>
            </w:pPr>
            <w:r>
              <w:rPr>
                <w:rFonts w:ascii="Times New Roman" w:hAnsi="Times New Roman"/>
                <w:b/>
                <w:sz w:val="20"/>
              </w:rPr>
              <w:t>p-value</w:t>
            </w:r>
          </w:p>
        </w:tc>
      </w:tr>
      <w:tr>
        <w:tc>
          <w:tcPr>
            <w:tcW w:type="dxa" w:w="1872"/>
          </w:tcPr>
          <w:p>
            <w:pPr>
              <w:jc w:val="center"/>
            </w:pPr>
            <w:r>
              <w:rPr>
                <w:rFonts w:ascii="Times New Roman" w:hAnsi="Times New Roman"/>
                <w:sz w:val="20"/>
              </w:rPr>
              <w:t>Mass (kg)</w:t>
            </w:r>
          </w:p>
        </w:tc>
        <w:tc>
          <w:tcPr>
            <w:tcW w:type="dxa" w:w="1872"/>
          </w:tcPr>
          <w:p>
            <w:pPr>
              <w:jc w:val="center"/>
            </w:pPr>
            <w:r>
              <w:rPr>
                <w:rFonts w:ascii="Times New Roman" w:hAnsi="Times New Roman"/>
                <w:sz w:val="20"/>
              </w:rPr>
              <w:t>20.71 ± 1.02</w:t>
            </w:r>
          </w:p>
        </w:tc>
        <w:tc>
          <w:tcPr>
            <w:tcW w:type="dxa" w:w="1872"/>
          </w:tcPr>
          <w:p>
            <w:pPr>
              <w:jc w:val="center"/>
            </w:pPr>
            <w:r>
              <w:rPr>
                <w:rFonts w:ascii="Times New Roman" w:hAnsi="Times New Roman"/>
                <w:sz w:val="20"/>
              </w:rPr>
              <w:t>19.65 ± 1.23</w:t>
            </w:r>
          </w:p>
        </w:tc>
        <w:tc>
          <w:tcPr>
            <w:tcW w:type="dxa" w:w="1872"/>
          </w:tcPr>
          <w:p>
            <w:pPr>
              <w:jc w:val="center"/>
            </w:pPr>
            <w:r>
              <w:rPr>
                <w:rFonts w:ascii="Times New Roman" w:hAnsi="Times New Roman"/>
                <w:sz w:val="20"/>
              </w:rPr>
              <w:t>11.08</w:t>
            </w:r>
          </w:p>
        </w:tc>
        <w:tc>
          <w:tcPr>
            <w:tcW w:type="dxa" w:w="1872"/>
          </w:tcPr>
          <w:p>
            <w:pPr>
              <w:jc w:val="center"/>
            </w:pPr>
            <w:r>
              <w:rPr>
                <w:rFonts w:ascii="Times New Roman" w:hAnsi="Times New Roman"/>
                <w:sz w:val="20"/>
              </w:rPr>
              <w:t>&lt;0.0001</w:t>
            </w:r>
          </w:p>
        </w:tc>
      </w:tr>
      <w:tr>
        <w:tc>
          <w:tcPr>
            <w:tcW w:type="dxa" w:w="1872"/>
          </w:tcPr>
          <w:p>
            <w:pPr>
              <w:jc w:val="center"/>
            </w:pPr>
            <w:r>
              <w:rPr>
                <w:rFonts w:ascii="Times New Roman" w:hAnsi="Times New Roman"/>
                <w:sz w:val="20"/>
              </w:rPr>
              <w:t>Mode7_Freq (Hz)</w:t>
            </w:r>
          </w:p>
        </w:tc>
        <w:tc>
          <w:tcPr>
            <w:tcW w:type="dxa" w:w="1872"/>
          </w:tcPr>
          <w:p>
            <w:pPr>
              <w:jc w:val="center"/>
            </w:pPr>
            <w:r>
              <w:rPr>
                <w:rFonts w:ascii="Times New Roman" w:hAnsi="Times New Roman"/>
                <w:sz w:val="20"/>
              </w:rPr>
              <w:t>421.85 ± 18.55</w:t>
            </w:r>
          </w:p>
        </w:tc>
        <w:tc>
          <w:tcPr>
            <w:tcW w:type="dxa" w:w="1872"/>
          </w:tcPr>
          <w:p>
            <w:pPr>
              <w:jc w:val="center"/>
            </w:pPr>
            <w:r>
              <w:rPr>
                <w:rFonts w:ascii="Times New Roman" w:hAnsi="Times New Roman"/>
                <w:sz w:val="20"/>
              </w:rPr>
              <w:t>398.07 ± 24.00</w:t>
            </w:r>
          </w:p>
        </w:tc>
        <w:tc>
          <w:tcPr>
            <w:tcW w:type="dxa" w:w="1872"/>
          </w:tcPr>
          <w:p>
            <w:pPr>
              <w:jc w:val="center"/>
            </w:pPr>
            <w:r>
              <w:rPr>
                <w:rFonts w:ascii="Times New Roman" w:hAnsi="Times New Roman"/>
                <w:sz w:val="20"/>
              </w:rPr>
              <w:t>13.54</w:t>
            </w:r>
          </w:p>
        </w:tc>
        <w:tc>
          <w:tcPr>
            <w:tcW w:type="dxa" w:w="1872"/>
          </w:tcPr>
          <w:p>
            <w:pPr>
              <w:jc w:val="center"/>
            </w:pPr>
            <w:r>
              <w:rPr>
                <w:rFonts w:ascii="Times New Roman" w:hAnsi="Times New Roman"/>
                <w:sz w:val="20"/>
              </w:rPr>
              <w:t>&lt;0.0001</w:t>
            </w:r>
          </w:p>
        </w:tc>
      </w:tr>
      <w:tr>
        <w:tc>
          <w:tcPr>
            <w:tcW w:type="dxa" w:w="1872"/>
          </w:tcPr>
          <w:p>
            <w:pPr>
              <w:jc w:val="center"/>
            </w:pPr>
            <w:r>
              <w:rPr>
                <w:rFonts w:ascii="Times New Roman" w:hAnsi="Times New Roman"/>
                <w:sz w:val="20"/>
              </w:rPr>
              <w:t>Mode11_Freq (Hz)</w:t>
            </w:r>
          </w:p>
        </w:tc>
        <w:tc>
          <w:tcPr>
            <w:tcW w:type="dxa" w:w="1872"/>
          </w:tcPr>
          <w:p>
            <w:pPr>
              <w:jc w:val="center"/>
            </w:pPr>
            <w:r>
              <w:rPr>
                <w:rFonts w:ascii="Times New Roman" w:hAnsi="Times New Roman"/>
                <w:sz w:val="20"/>
              </w:rPr>
              <w:t>1163.79 ± 85.91</w:t>
            </w:r>
          </w:p>
        </w:tc>
        <w:tc>
          <w:tcPr>
            <w:tcW w:type="dxa" w:w="1872"/>
          </w:tcPr>
          <w:p>
            <w:pPr>
              <w:jc w:val="center"/>
            </w:pPr>
            <w:r>
              <w:rPr>
                <w:rFonts w:ascii="Times New Roman" w:hAnsi="Times New Roman"/>
                <w:sz w:val="20"/>
              </w:rPr>
              <w:t>1007.31 ± 111.53</w:t>
            </w:r>
          </w:p>
        </w:tc>
        <w:tc>
          <w:tcPr>
            <w:tcW w:type="dxa" w:w="1872"/>
          </w:tcPr>
          <w:p>
            <w:pPr>
              <w:jc w:val="center"/>
            </w:pPr>
            <w:r>
              <w:rPr>
                <w:rFonts w:ascii="Times New Roman" w:hAnsi="Times New Roman"/>
                <w:sz w:val="20"/>
              </w:rPr>
              <w:t>19.07</w:t>
            </w:r>
          </w:p>
        </w:tc>
        <w:tc>
          <w:tcPr>
            <w:tcW w:type="dxa" w:w="1872"/>
          </w:tcPr>
          <w:p>
            <w:pPr>
              <w:jc w:val="center"/>
            </w:pPr>
            <w:r>
              <w:rPr>
                <w:rFonts w:ascii="Times New Roman" w:hAnsi="Times New Roman"/>
                <w:sz w:val="20"/>
              </w:rPr>
              <w:t>&lt;0.0001</w:t>
            </w:r>
          </w:p>
        </w:tc>
      </w:tr>
      <w:tr>
        <w:tc>
          <w:tcPr>
            <w:tcW w:type="dxa" w:w="1872"/>
          </w:tcPr>
          <w:p>
            <w:pPr>
              <w:jc w:val="center"/>
            </w:pPr>
            <w:r>
              <w:rPr>
                <w:rFonts w:ascii="Times New Roman" w:hAnsi="Times New Roman"/>
                <w:sz w:val="20"/>
              </w:rPr>
              <w:t>Stiffness Ratio</w:t>
            </w:r>
          </w:p>
        </w:tc>
        <w:tc>
          <w:tcPr>
            <w:tcW w:type="dxa" w:w="1872"/>
          </w:tcPr>
          <w:p>
            <w:pPr>
              <w:jc w:val="center"/>
            </w:pPr>
            <w:r>
              <w:rPr>
                <w:rFonts w:ascii="Times New Roman" w:hAnsi="Times New Roman"/>
                <w:sz w:val="20"/>
              </w:rPr>
              <w:t>2.76 ± 0.12</w:t>
            </w:r>
          </w:p>
        </w:tc>
        <w:tc>
          <w:tcPr>
            <w:tcW w:type="dxa" w:w="1872"/>
          </w:tcPr>
          <w:p>
            <w:pPr>
              <w:jc w:val="center"/>
            </w:pPr>
            <w:r>
              <w:rPr>
                <w:rFonts w:ascii="Times New Roman" w:hAnsi="Times New Roman"/>
                <w:sz w:val="20"/>
              </w:rPr>
              <w:t>2.52 ± 0.19</w:t>
            </w:r>
          </w:p>
        </w:tc>
        <w:tc>
          <w:tcPr>
            <w:tcW w:type="dxa" w:w="1872"/>
          </w:tcPr>
          <w:p>
            <w:pPr>
              <w:jc w:val="center"/>
            </w:pPr>
            <w:r>
              <w:rPr>
                <w:rFonts w:ascii="Times New Roman" w:hAnsi="Times New Roman"/>
                <w:sz w:val="20"/>
              </w:rPr>
              <w:t>19.39</w:t>
            </w:r>
          </w:p>
        </w:tc>
        <w:tc>
          <w:tcPr>
            <w:tcW w:type="dxa" w:w="1872"/>
          </w:tcPr>
          <w:p>
            <w:pPr>
              <w:jc w:val="center"/>
            </w:pPr>
            <w:r>
              <w:rPr>
                <w:rFonts w:ascii="Times New Roman" w:hAnsi="Times New Roman"/>
                <w:sz w:val="20"/>
              </w:rPr>
              <w:t>&lt;0.0001</w:t>
            </w:r>
          </w:p>
        </w:tc>
      </w:tr>
      <w:tr>
        <w:tc>
          <w:tcPr>
            <w:tcW w:type="dxa" w:w="1872"/>
          </w:tcPr>
          <w:p>
            <w:pPr>
              <w:jc w:val="center"/>
            </w:pPr>
            <w:r>
              <w:rPr>
                <w:rFonts w:ascii="Times New Roman" w:hAnsi="Times New Roman"/>
                <w:sz w:val="20"/>
              </w:rPr>
              <w:t>Mass Efficiency</w:t>
            </w:r>
          </w:p>
        </w:tc>
        <w:tc>
          <w:tcPr>
            <w:tcW w:type="dxa" w:w="1872"/>
          </w:tcPr>
          <w:p>
            <w:pPr>
              <w:jc w:val="center"/>
            </w:pPr>
            <w:r>
              <w:rPr>
                <w:rFonts w:ascii="Times New Roman" w:hAnsi="Times New Roman"/>
                <w:sz w:val="20"/>
              </w:rPr>
              <w:t>38.33 ± 1.09</w:t>
            </w:r>
          </w:p>
        </w:tc>
        <w:tc>
          <w:tcPr>
            <w:tcW w:type="dxa" w:w="1872"/>
          </w:tcPr>
          <w:p>
            <w:pPr>
              <w:jc w:val="center"/>
            </w:pPr>
            <w:r>
              <w:rPr>
                <w:rFonts w:ascii="Times New Roman" w:hAnsi="Times New Roman"/>
                <w:sz w:val="20"/>
              </w:rPr>
              <w:t>35.40 ± 1.58</w:t>
            </w:r>
          </w:p>
        </w:tc>
        <w:tc>
          <w:tcPr>
            <w:tcW w:type="dxa" w:w="1872"/>
          </w:tcPr>
          <w:p>
            <w:pPr>
              <w:jc w:val="center"/>
            </w:pPr>
            <w:r>
              <w:rPr>
                <w:rFonts w:ascii="Times New Roman" w:hAnsi="Times New Roman"/>
                <w:sz w:val="20"/>
              </w:rPr>
              <w:t>26.24</w:t>
            </w:r>
          </w:p>
        </w:tc>
        <w:tc>
          <w:tcPr>
            <w:tcW w:type="dxa" w:w="1872"/>
          </w:tcPr>
          <w:p>
            <w:pPr>
              <w:jc w:val="center"/>
            </w:pPr>
            <w:r>
              <w:rPr>
                <w:rFonts w:ascii="Times New Roman" w:hAnsi="Times New Roman"/>
                <w:sz w:val="20"/>
              </w:rPr>
              <w:t>&lt;0.0001</w:t>
            </w:r>
          </w:p>
        </w:tc>
      </w:tr>
    </w:tbl>
    <w:p>
      <w:pPr>
        <w:spacing w:before="0" w:after="0" w:line="480" w:lineRule="auto"/>
        <w:ind w:firstLine="720"/>
        <w:jc w:val="both"/>
      </w:pPr>
      <w:r>
        <w:rPr>
          <w:rFonts w:ascii="Times New Roman" w:hAnsi="Times New Roman"/>
          <w:b w:val="0"/>
          <w:i w:val="0"/>
          <w:sz w:val="24"/>
        </w:rPr>
        <w:t>All features show statistically significant differences (p &lt; 0.0001) between valid and invalid designs. Mode 11 Frequency exhibits the largest absolute difference (Δ = 157 Hz, 15.6% reduction in invalid designs), consistent with its dominant role in feature importance analysis.</w:t>
      </w:r>
    </w:p>
    <w:p>
      <w:pPr>
        <w:jc w:val="center"/>
      </w:pPr>
      <w:r>
        <w:drawing>
          <wp:inline xmlns:a="http://schemas.openxmlformats.org/drawingml/2006/main" xmlns:pic="http://schemas.openxmlformats.org/drawingml/2006/picture">
            <wp:extent cx="4389120" cy="3082596"/>
            <wp:docPr id="2" name="Picture 2"/>
            <wp:cNvGraphicFramePr>
              <a:graphicFrameLocks noChangeAspect="1"/>
            </wp:cNvGraphicFramePr>
            <a:graphic>
              <a:graphicData uri="http://schemas.openxmlformats.org/drawingml/2006/picture">
                <pic:pic>
                  <pic:nvPicPr>
                    <pic:cNvPr id="0" name="rq2_visualizations.png"/>
                    <pic:cNvPicPr/>
                  </pic:nvPicPr>
                  <pic:blipFill>
                    <a:blip r:embed="rId10"/>
                    <a:stretch>
                      <a:fillRect/>
                    </a:stretch>
                  </pic:blipFill>
                  <pic:spPr>
                    <a:xfrm>
                      <a:off x="0" y="0"/>
                      <a:ext cx="4389120" cy="3082596"/>
                    </a:xfrm>
                    <a:prstGeom prst="rect"/>
                  </pic:spPr>
                </pic:pic>
              </a:graphicData>
            </a:graphic>
          </wp:inline>
        </w:drawing>
      </w:r>
    </w:p>
    <w:p>
      <w:pPr>
        <w:spacing w:before="40" w:after="80" w:line="240" w:lineRule="auto"/>
        <w:jc w:val="both"/>
      </w:pPr>
      <w:r>
        <w:rPr>
          <w:rFonts w:ascii="Times New Roman" w:hAnsi="Times New Roman"/>
          <w:b/>
          <w:i/>
          <w:sz w:val="22"/>
        </w:rPr>
        <w:t xml:space="preserve">Figure 2. </w:t>
      </w:r>
      <w:r>
        <w:rPr>
          <w:rFonts w:ascii="Times New Roman" w:hAnsi="Times New Roman"/>
          <w:i/>
          <w:sz w:val="22"/>
        </w:rPr>
        <w:t>RQ2 Feature Importance Analysis. (a) Random Forest importance scores confirm Mode 11 Frequency (41.3%) as the dominant predictor. (b) Correlation matrix reveals strong inter-relationships among frequency measures (r &gt; 0.91). (c) Box plot demonstrates significant Mode 11 separation between valid and invalid designs (Δ = 157 Hz, p &lt; 0.0001). (d) Scatter plot visualizes constraint boundaries, with failures concentrated in the low-frequency region.</w:t>
      </w:r>
    </w:p>
    <w:p>
      <w:pPr>
        <w:pStyle w:val="Heading3"/>
        <w:spacing w:before="40" w:after="40"/>
      </w:pPr>
      <w:r>
        <w:rPr>
          <w:rFonts w:ascii="Times New Roman" w:hAnsi="Times New Roman"/>
          <w:color w:val="000000"/>
          <w:sz w:val="24"/>
        </w:rPr>
        <w:t>Key Insights from EDA</w:t>
      </w:r>
    </w:p>
    <w:p>
      <w:pPr>
        <w:spacing w:before="0" w:after="0" w:line="480" w:lineRule="auto"/>
        <w:ind w:firstLine="720"/>
        <w:jc w:val="both"/>
      </w:pPr>
      <w:r>
        <w:rPr>
          <w:rFonts w:ascii="Times New Roman" w:hAnsi="Times New Roman"/>
          <w:b w:val="0"/>
          <w:i w:val="0"/>
          <w:sz w:val="24"/>
        </w:rPr>
        <w:t>Five key insights emerge from the exploratory data analysis:</w:t>
      </w:r>
    </w:p>
    <w:p>
      <w:pPr>
        <w:spacing w:before="0" w:after="0" w:line="480" w:lineRule="auto"/>
        <w:ind w:firstLine="720"/>
        <w:jc w:val="both"/>
      </w:pPr>
      <w:r>
        <w:rPr>
          <w:rFonts w:ascii="Times New Roman" w:hAnsi="Times New Roman"/>
          <w:b w:val="0"/>
          <w:i w:val="0"/>
          <w:sz w:val="24"/>
        </w:rPr>
        <w:t>(1) Mode 11 Frequency is the dominant driver of validation failure, accounting for 15.93% of all violations and 41.35% of Random Forest feature importance. (2) The 18.58% overall failure rate is lower than the hypothesized 25% (H1 not confirmed), suggesting the DeepWheel model incorporates implicit physics awareness. (3) Mass constraints are well-controlled (only 2.32% violations), indicating effective mass targeting in the generative pipeline. (4) Normalized metrics (mass efficiency r = 0.598, stiffness ratio r = 0.579) outperform raw measurements in predicting validation outcomes. (5) Invalid designs cluster in the low-frequency region, with Mode 11 averaging 1007 Hz vs. 1164 Hz for valid designs (15.6% reduction).</w:t>
      </w:r>
    </w:p>
    <w:p>
      <w:pPr>
        <w:pStyle w:val="Heading1"/>
        <w:spacing w:before="80" w:after="40"/>
      </w:pPr>
      <w:r>
        <w:rPr>
          <w:rFonts w:ascii="Times New Roman" w:hAnsi="Times New Roman"/>
          <w:color w:val="000000"/>
          <w:sz w:val="28"/>
        </w:rPr>
        <w:t>5. Modelling – Choice of Models with Justification, Features</w:t>
      </w:r>
    </w:p>
    <w:p>
      <w:pPr>
        <w:pStyle w:val="Heading2"/>
        <w:spacing w:before="40" w:after="40"/>
      </w:pPr>
      <w:r>
        <w:rPr>
          <w:rFonts w:ascii="Times New Roman" w:hAnsi="Times New Roman"/>
          <w:color w:val="000000"/>
          <w:sz w:val="26"/>
        </w:rPr>
        <w:t>Model Selection Rationale</w:t>
      </w:r>
    </w:p>
    <w:p>
      <w:pPr>
        <w:spacing w:before="0" w:after="0" w:line="480" w:lineRule="auto"/>
        <w:ind w:firstLine="720"/>
        <w:jc w:val="both"/>
      </w:pPr>
      <w:r>
        <w:rPr>
          <w:rFonts w:ascii="Times New Roman" w:hAnsi="Times New Roman"/>
          <w:b w:val="0"/>
          <w:i w:val="0"/>
          <w:sz w:val="24"/>
        </w:rPr>
        <w:t>This study employs a multi-model approach to ensure robust validation prediction, progressing from interpretable baselines to complex ensemble methods:</w:t>
      </w:r>
    </w:p>
    <w:p>
      <w:pPr>
        <w:spacing w:before="0" w:after="0" w:line="480" w:lineRule="auto"/>
        <w:ind w:firstLine="720"/>
        <w:jc w:val="both"/>
      </w:pPr>
      <w:r>
        <w:rPr>
          <w:rFonts w:ascii="Times New Roman" w:hAnsi="Times New Roman"/>
          <w:b/>
          <w:i w:val="0"/>
          <w:sz w:val="24"/>
        </w:rPr>
        <w:t xml:space="preserve">1. Logistic Regression (Interpretable Baseline): </w:t>
      </w:r>
      <w:r>
        <w:rPr>
          <w:rFonts w:ascii="Times New Roman" w:hAnsi="Times New Roman"/>
          <w:b w:val="0"/>
          <w:i w:val="0"/>
          <w:sz w:val="24"/>
        </w:rPr>
        <w:t>Provides interpretable coefficients for understanding feature-outcome relationships and establishes performance baseline (Hosmer &amp; Lemeshow, 2000). Configuration: L2 regularization (Ridge) with C = 1.0. Advantages: high interpretability, fast training, well-established statistical properties. Limitations: assumes linear decision boundaries.</w:t>
      </w:r>
    </w:p>
    <w:p>
      <w:pPr>
        <w:spacing w:before="0" w:after="0" w:line="480" w:lineRule="auto"/>
        <w:ind w:firstLine="720"/>
        <w:jc w:val="both"/>
      </w:pPr>
      <w:r>
        <w:rPr>
          <w:rFonts w:ascii="Times New Roman" w:hAnsi="Times New Roman"/>
          <w:b/>
          <w:i w:val="0"/>
          <w:sz w:val="24"/>
        </w:rPr>
        <w:t xml:space="preserve">2. Multi-Layer Perceptron (MLP): </w:t>
      </w:r>
      <w:r>
        <w:rPr>
          <w:rFonts w:ascii="Times New Roman" w:hAnsi="Times New Roman"/>
          <w:b w:val="0"/>
          <w:i w:val="0"/>
          <w:sz w:val="24"/>
        </w:rPr>
        <w:t>Captures non-linear relationships between parametric features and validation outcomes. Configuration: scikit-learn MLPClassifier; hidden layers (64, 32) neurons; ReLU activation; Adam solver (learning rate = 0.001); early stopping enabled; max iterations = 500. Advantages: captures complex non-linear patterns. Limitations: requires more training data, less interpretable.</w:t>
      </w:r>
    </w:p>
    <w:p>
      <w:pPr>
        <w:spacing w:before="0" w:after="0" w:line="480" w:lineRule="auto"/>
        <w:ind w:firstLine="720"/>
        <w:jc w:val="both"/>
      </w:pPr>
      <w:r>
        <w:rPr>
          <w:rFonts w:ascii="Times New Roman" w:hAnsi="Times New Roman"/>
          <w:b/>
          <w:i w:val="0"/>
          <w:sz w:val="24"/>
        </w:rPr>
        <w:t xml:space="preserve">3. Random Forest: </w:t>
      </w:r>
      <w:r>
        <w:rPr>
          <w:rFonts w:ascii="Times New Roman" w:hAnsi="Times New Roman"/>
          <w:b w:val="0"/>
          <w:i w:val="0"/>
          <w:sz w:val="24"/>
        </w:rPr>
        <w:t>Ensemble method providing robust predictions and built-in feature importance metrics (Breiman, 2001). Configuration: n_estimators = 100, max_depth = 10, class_weight = ‘balanced’ (address class imbalance). Advantages: handles non-linear relationships, robust to outliers, provides feature importance. Limitations: can overfit; biased importance for correlated features.</w:t>
      </w:r>
    </w:p>
    <w:p>
      <w:pPr>
        <w:spacing w:before="0" w:after="0" w:line="480" w:lineRule="auto"/>
        <w:ind w:firstLine="720"/>
        <w:jc w:val="both"/>
      </w:pPr>
      <w:r>
        <w:rPr>
          <w:rFonts w:ascii="Times New Roman" w:hAnsi="Times New Roman"/>
          <w:b/>
          <w:i w:val="0"/>
          <w:sz w:val="24"/>
        </w:rPr>
        <w:t xml:space="preserve">4. Gradient Boosting (XGBoost): </w:t>
      </w:r>
      <w:r>
        <w:rPr>
          <w:rFonts w:ascii="Times New Roman" w:hAnsi="Times New Roman"/>
          <w:b w:val="0"/>
          <w:i w:val="0"/>
          <w:sz w:val="24"/>
        </w:rPr>
        <w:t>State-of-the-art ensemble method with built-in regularization. Configuration: n_estimators = 100, learning_rate = 0.1, max_depth = 6, scale_pos_weight = class ratio. Advantages: typically best predictive performance, handles missing values. Limitations: longer training time, more hyperparameters, less interpretable.</w:t>
      </w:r>
    </w:p>
    <w:p>
      <w:pPr>
        <w:pStyle w:val="Heading2"/>
        <w:spacing w:before="40" w:after="40"/>
      </w:pPr>
      <w:r>
        <w:rPr>
          <w:rFonts w:ascii="Times New Roman" w:hAnsi="Times New Roman"/>
          <w:color w:val="000000"/>
          <w:sz w:val="26"/>
        </w:rPr>
        <w:t>Features, Validation Strategy, and Evaluation Metrics</w:t>
      </w:r>
    </w:p>
    <w:p>
      <w:pPr>
        <w:spacing w:before="0" w:after="0" w:line="480" w:lineRule="auto"/>
        <w:ind w:firstLine="720"/>
        <w:jc w:val="both"/>
      </w:pPr>
      <w:r>
        <w:rPr>
          <w:rFonts w:ascii="Times New Roman" w:hAnsi="Times New Roman"/>
          <w:b w:val="0"/>
          <w:i w:val="0"/>
          <w:sz w:val="24"/>
        </w:rPr>
        <w:t>Five continuous features were used: Mass (kg), Mode7_Freq (Hz), Mode11_Freq (Hz), stiffness_ratio (Mode11_Freq / Mode7_Freq), and mass_efficiency ((Mode7_Freq + Mode11_Freq) / (2 × Mass)). Data was split 70/15/15 (train/validation/test) with stratification to preserve class distribution. Hyperparameters were selected based on domain knowledge and established defaults. Robustness was confirmed via stratified 5-fold cross-validation.</w:t>
      </w:r>
    </w:p>
    <w:p>
      <w:pPr>
        <w:spacing w:before="0" w:after="0" w:line="480" w:lineRule="auto"/>
        <w:ind w:firstLine="720"/>
        <w:jc w:val="both"/>
      </w:pPr>
      <w:r>
        <w:rPr>
          <w:rFonts w:ascii="Times New Roman" w:hAnsi="Times New Roman"/>
          <w:b w:val="0"/>
          <w:i w:val="0"/>
          <w:sz w:val="24"/>
        </w:rPr>
        <w:t>All models were implemented using scikit-learn (Pedregosa et al., 2011) and XGBoost libraries, and evaluated using: Accuracy (overall correctness), Precision (minimizes false alarms), Recall (minimizes missed failures), F1-Score (harmonic mean), AUC-ROC (threshold-independent performance), and Matthews Correlation Coefficient (MCC; Chicco &amp; Jurman, 2020—balanced measure for imbalanced classification).</w:t>
      </w:r>
    </w:p>
    <w:p>
      <w:pPr>
        <w:pStyle w:val="Heading1"/>
        <w:spacing w:before="80" w:after="40"/>
      </w:pPr>
      <w:r>
        <w:rPr>
          <w:rFonts w:ascii="Times New Roman" w:hAnsi="Times New Roman"/>
          <w:color w:val="000000"/>
          <w:sz w:val="28"/>
        </w:rPr>
        <w:t>6. Preliminary Results</w:t>
      </w:r>
    </w:p>
    <w:p>
      <w:pPr>
        <w:pStyle w:val="Heading2"/>
        <w:spacing w:before="40" w:after="40"/>
      </w:pPr>
      <w:r>
        <w:rPr>
          <w:rFonts w:ascii="Times New Roman" w:hAnsi="Times New Roman"/>
          <w:color w:val="000000"/>
          <w:sz w:val="26"/>
        </w:rPr>
        <w:t>Model Performance Comparison</w:t>
      </w:r>
    </w:p>
    <w:p>
      <w:pPr>
        <w:spacing w:before="0" w:after="0" w:line="480" w:lineRule="auto"/>
        <w:ind w:firstLine="720"/>
        <w:jc w:val="both"/>
      </w:pPr>
      <w:r>
        <w:rPr>
          <w:rFonts w:ascii="Times New Roman" w:hAnsi="Times New Roman"/>
          <w:b w:val="0"/>
          <w:i w:val="0"/>
          <w:sz w:val="24"/>
        </w:rPr>
        <w:t>Four classification models were trained on a 70/15/15 stratified train/validation/test split and evaluated on the held-out test set (n = 136). Table 11 presents the performance comparison across all metrics.</w:t>
      </w:r>
    </w:p>
    <w:p>
      <w:pPr>
        <w:spacing w:before="80" w:after="0" w:line="240" w:lineRule="auto"/>
      </w:pPr>
      <w:r>
        <w:rPr>
          <w:rFonts w:ascii="Times New Roman" w:hAnsi="Times New Roman"/>
          <w:b/>
          <w:i/>
          <w:sz w:val="22"/>
        </w:rPr>
        <w:t>Table 11</w:t>
      </w:r>
    </w:p>
    <w:p>
      <w:pPr>
        <w:spacing w:before="0" w:after="40" w:line="240" w:lineRule="auto"/>
      </w:pPr>
      <w:r>
        <w:rPr>
          <w:rFonts w:ascii="Times New Roman" w:hAnsi="Times New Roman"/>
          <w:i/>
          <w:sz w:val="22"/>
        </w:rPr>
        <w:t>Model Performance Comparison on Held-Out Test Set (n = 136)</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D9E2F3"/>
          </w:tcPr>
          <w:p>
            <w:pPr>
              <w:jc w:val="center"/>
            </w:pPr>
            <w:r>
              <w:rPr>
                <w:rFonts w:ascii="Times New Roman" w:hAnsi="Times New Roman"/>
                <w:b/>
                <w:sz w:val="20"/>
              </w:rPr>
              <w:t>Model</w:t>
            </w:r>
          </w:p>
        </w:tc>
        <w:tc>
          <w:tcPr>
            <w:tcW w:type="dxa" w:w="1337"/>
            <w:shd w:fill="D9E2F3"/>
          </w:tcPr>
          <w:p>
            <w:pPr>
              <w:jc w:val="center"/>
            </w:pPr>
            <w:r>
              <w:rPr>
                <w:rFonts w:ascii="Times New Roman" w:hAnsi="Times New Roman"/>
                <w:b/>
                <w:sz w:val="20"/>
              </w:rPr>
              <w:t>Accuracy</w:t>
            </w:r>
          </w:p>
        </w:tc>
        <w:tc>
          <w:tcPr>
            <w:tcW w:type="dxa" w:w="1337"/>
            <w:shd w:fill="D9E2F3"/>
          </w:tcPr>
          <w:p>
            <w:pPr>
              <w:jc w:val="center"/>
            </w:pPr>
            <w:r>
              <w:rPr>
                <w:rFonts w:ascii="Times New Roman" w:hAnsi="Times New Roman"/>
                <w:b/>
                <w:sz w:val="20"/>
              </w:rPr>
              <w:t>Precision</w:t>
            </w:r>
          </w:p>
        </w:tc>
        <w:tc>
          <w:tcPr>
            <w:tcW w:type="dxa" w:w="1337"/>
            <w:shd w:fill="D9E2F3"/>
          </w:tcPr>
          <w:p>
            <w:pPr>
              <w:jc w:val="center"/>
            </w:pPr>
            <w:r>
              <w:rPr>
                <w:rFonts w:ascii="Times New Roman" w:hAnsi="Times New Roman"/>
                <w:b/>
                <w:sz w:val="20"/>
              </w:rPr>
              <w:t>Recall</w:t>
            </w:r>
          </w:p>
        </w:tc>
        <w:tc>
          <w:tcPr>
            <w:tcW w:type="dxa" w:w="1337"/>
            <w:shd w:fill="D9E2F3"/>
          </w:tcPr>
          <w:p>
            <w:pPr>
              <w:jc w:val="center"/>
            </w:pPr>
            <w:r>
              <w:rPr>
                <w:rFonts w:ascii="Times New Roman" w:hAnsi="Times New Roman"/>
                <w:b/>
                <w:sz w:val="20"/>
              </w:rPr>
              <w:t>F1-Score</w:t>
            </w:r>
          </w:p>
        </w:tc>
        <w:tc>
          <w:tcPr>
            <w:tcW w:type="dxa" w:w="1337"/>
            <w:shd w:fill="D9E2F3"/>
          </w:tcPr>
          <w:p>
            <w:pPr>
              <w:jc w:val="center"/>
            </w:pPr>
            <w:r>
              <w:rPr>
                <w:rFonts w:ascii="Times New Roman" w:hAnsi="Times New Roman"/>
                <w:b/>
                <w:sz w:val="20"/>
              </w:rPr>
              <w:t>AUC-ROC</w:t>
            </w:r>
          </w:p>
        </w:tc>
        <w:tc>
          <w:tcPr>
            <w:tcW w:type="dxa" w:w="1337"/>
            <w:shd w:fill="D9E2F3"/>
          </w:tcPr>
          <w:p>
            <w:pPr>
              <w:jc w:val="center"/>
            </w:pPr>
            <w:r>
              <w:rPr>
                <w:rFonts w:ascii="Times New Roman" w:hAnsi="Times New Roman"/>
                <w:b/>
                <w:sz w:val="20"/>
              </w:rPr>
              <w:t>MCC</w:t>
            </w:r>
          </w:p>
        </w:tc>
      </w:tr>
      <w:tr>
        <w:tc>
          <w:tcPr>
            <w:tcW w:type="dxa" w:w="1337"/>
          </w:tcPr>
          <w:p>
            <w:pPr>
              <w:jc w:val="center"/>
            </w:pPr>
            <w:r>
              <w:rPr>
                <w:rFonts w:ascii="Times New Roman" w:hAnsi="Times New Roman"/>
                <w:sz w:val="20"/>
              </w:rPr>
              <w:t>Logistic Regression</w:t>
            </w:r>
          </w:p>
        </w:tc>
        <w:tc>
          <w:tcPr>
            <w:tcW w:type="dxa" w:w="1337"/>
          </w:tcPr>
          <w:p>
            <w:pPr>
              <w:jc w:val="center"/>
            </w:pPr>
            <w:r>
              <w:rPr>
                <w:rFonts w:ascii="Times New Roman" w:hAnsi="Times New Roman"/>
                <w:sz w:val="20"/>
              </w:rPr>
              <w:t>0.9412</w:t>
            </w:r>
          </w:p>
        </w:tc>
        <w:tc>
          <w:tcPr>
            <w:tcW w:type="dxa" w:w="1337"/>
          </w:tcPr>
          <w:p>
            <w:pPr>
              <w:jc w:val="center"/>
            </w:pPr>
            <w:r>
              <w:rPr>
                <w:rFonts w:ascii="Times New Roman" w:hAnsi="Times New Roman"/>
                <w:sz w:val="20"/>
              </w:rPr>
              <w:t>0.9558</w:t>
            </w:r>
          </w:p>
        </w:tc>
        <w:tc>
          <w:tcPr>
            <w:tcW w:type="dxa" w:w="1337"/>
          </w:tcPr>
          <w:p>
            <w:pPr>
              <w:jc w:val="center"/>
            </w:pPr>
            <w:r>
              <w:rPr>
                <w:rFonts w:ascii="Times New Roman" w:hAnsi="Times New Roman"/>
                <w:sz w:val="20"/>
              </w:rPr>
              <w:t>0.9730</w:t>
            </w:r>
          </w:p>
        </w:tc>
        <w:tc>
          <w:tcPr>
            <w:tcW w:type="dxa" w:w="1337"/>
          </w:tcPr>
          <w:p>
            <w:pPr>
              <w:jc w:val="center"/>
            </w:pPr>
            <w:r>
              <w:rPr>
                <w:rFonts w:ascii="Times New Roman" w:hAnsi="Times New Roman"/>
                <w:sz w:val="20"/>
              </w:rPr>
              <w:t>0.9643</w:t>
            </w:r>
          </w:p>
        </w:tc>
        <w:tc>
          <w:tcPr>
            <w:tcW w:type="dxa" w:w="1337"/>
          </w:tcPr>
          <w:p>
            <w:pPr>
              <w:jc w:val="center"/>
            </w:pPr>
            <w:r>
              <w:rPr>
                <w:rFonts w:ascii="Times New Roman" w:hAnsi="Times New Roman"/>
                <w:sz w:val="20"/>
              </w:rPr>
              <w:t>0.8886</w:t>
            </w:r>
          </w:p>
        </w:tc>
        <w:tc>
          <w:tcPr>
            <w:tcW w:type="dxa" w:w="1337"/>
          </w:tcPr>
          <w:p>
            <w:pPr>
              <w:jc w:val="center"/>
            </w:pPr>
            <w:r>
              <w:rPr>
                <w:rFonts w:ascii="Times New Roman" w:hAnsi="Times New Roman"/>
                <w:sz w:val="20"/>
              </w:rPr>
              <w:t>0.7987</w:t>
            </w:r>
          </w:p>
        </w:tc>
      </w:tr>
      <w:tr>
        <w:tc>
          <w:tcPr>
            <w:tcW w:type="dxa" w:w="1337"/>
          </w:tcPr>
          <w:p>
            <w:pPr>
              <w:jc w:val="center"/>
            </w:pPr>
            <w:r>
              <w:rPr>
                <w:rFonts w:ascii="Times New Roman" w:hAnsi="Times New Roman"/>
                <w:sz w:val="20"/>
              </w:rPr>
              <w:t>MLP</w:t>
            </w:r>
          </w:p>
        </w:tc>
        <w:tc>
          <w:tcPr>
            <w:tcW w:type="dxa" w:w="1337"/>
          </w:tcPr>
          <w:p>
            <w:pPr>
              <w:jc w:val="center"/>
            </w:pPr>
            <w:r>
              <w:rPr>
                <w:rFonts w:ascii="Times New Roman" w:hAnsi="Times New Roman"/>
                <w:sz w:val="20"/>
              </w:rPr>
              <w:t>0.9485</w:t>
            </w:r>
          </w:p>
        </w:tc>
        <w:tc>
          <w:tcPr>
            <w:tcW w:type="dxa" w:w="1337"/>
          </w:tcPr>
          <w:p>
            <w:pPr>
              <w:jc w:val="center"/>
            </w:pPr>
            <w:r>
              <w:rPr>
                <w:rFonts w:ascii="Times New Roman" w:hAnsi="Times New Roman"/>
                <w:sz w:val="20"/>
              </w:rPr>
              <w:t>0.9561</w:t>
            </w:r>
          </w:p>
        </w:tc>
        <w:tc>
          <w:tcPr>
            <w:tcW w:type="dxa" w:w="1337"/>
          </w:tcPr>
          <w:p>
            <w:pPr>
              <w:jc w:val="center"/>
            </w:pPr>
            <w:r>
              <w:rPr>
                <w:rFonts w:ascii="Times New Roman" w:hAnsi="Times New Roman"/>
                <w:sz w:val="20"/>
              </w:rPr>
              <w:t>0.9820</w:t>
            </w:r>
          </w:p>
        </w:tc>
        <w:tc>
          <w:tcPr>
            <w:tcW w:type="dxa" w:w="1337"/>
          </w:tcPr>
          <w:p>
            <w:pPr>
              <w:jc w:val="center"/>
            </w:pPr>
            <w:r>
              <w:rPr>
                <w:rFonts w:ascii="Times New Roman" w:hAnsi="Times New Roman"/>
                <w:sz w:val="20"/>
              </w:rPr>
              <w:t>0.9689</w:t>
            </w:r>
          </w:p>
        </w:tc>
        <w:tc>
          <w:tcPr>
            <w:tcW w:type="dxa" w:w="1337"/>
          </w:tcPr>
          <w:p>
            <w:pPr>
              <w:jc w:val="center"/>
            </w:pPr>
            <w:r>
              <w:rPr>
                <w:rFonts w:ascii="Times New Roman" w:hAnsi="Times New Roman"/>
                <w:sz w:val="20"/>
              </w:rPr>
              <w:t>0.8717</w:t>
            </w:r>
          </w:p>
        </w:tc>
        <w:tc>
          <w:tcPr>
            <w:tcW w:type="dxa" w:w="1337"/>
          </w:tcPr>
          <w:p>
            <w:pPr>
              <w:jc w:val="center"/>
            </w:pPr>
            <w:r>
              <w:rPr>
                <w:rFonts w:ascii="Times New Roman" w:hAnsi="Times New Roman"/>
                <w:sz w:val="20"/>
              </w:rPr>
              <w:t>0.8226</w:t>
            </w:r>
          </w:p>
        </w:tc>
      </w:tr>
      <w:tr>
        <w:tc>
          <w:tcPr>
            <w:tcW w:type="dxa" w:w="1337"/>
          </w:tcPr>
          <w:p>
            <w:pPr>
              <w:jc w:val="center"/>
            </w:pPr>
            <w:r>
              <w:rPr>
                <w:rFonts w:ascii="Times New Roman" w:hAnsi="Times New Roman"/>
                <w:sz w:val="20"/>
              </w:rPr>
              <w:t>Random Forest</w:t>
            </w:r>
          </w:p>
        </w:tc>
        <w:tc>
          <w:tcPr>
            <w:tcW w:type="dxa" w:w="1337"/>
          </w:tcPr>
          <w:p>
            <w:pPr>
              <w:jc w:val="center"/>
            </w:pPr>
            <w:r>
              <w:rPr>
                <w:rFonts w:ascii="Times New Roman" w:hAnsi="Times New Roman"/>
                <w:sz w:val="20"/>
              </w:rPr>
              <w:t>0.9926</w:t>
            </w:r>
          </w:p>
        </w:tc>
        <w:tc>
          <w:tcPr>
            <w:tcW w:type="dxa" w:w="1337"/>
          </w:tcPr>
          <w:p>
            <w:pPr>
              <w:jc w:val="center"/>
            </w:pPr>
            <w:r>
              <w:rPr>
                <w:rFonts w:ascii="Times New Roman" w:hAnsi="Times New Roman"/>
                <w:sz w:val="20"/>
              </w:rPr>
              <w:t>1.0000</w:t>
            </w:r>
          </w:p>
        </w:tc>
        <w:tc>
          <w:tcPr>
            <w:tcW w:type="dxa" w:w="1337"/>
          </w:tcPr>
          <w:p>
            <w:pPr>
              <w:jc w:val="center"/>
            </w:pPr>
            <w:r>
              <w:rPr>
                <w:rFonts w:ascii="Times New Roman" w:hAnsi="Times New Roman"/>
                <w:sz w:val="20"/>
              </w:rPr>
              <w:t>0.9910</w:t>
            </w:r>
          </w:p>
        </w:tc>
        <w:tc>
          <w:tcPr>
            <w:tcW w:type="dxa" w:w="1337"/>
          </w:tcPr>
          <w:p>
            <w:pPr>
              <w:jc w:val="center"/>
            </w:pPr>
            <w:r>
              <w:rPr>
                <w:rFonts w:ascii="Times New Roman" w:hAnsi="Times New Roman"/>
                <w:sz w:val="20"/>
              </w:rPr>
              <w:t>0.9955</w:t>
            </w:r>
          </w:p>
        </w:tc>
        <w:tc>
          <w:tcPr>
            <w:tcW w:type="dxa" w:w="1337"/>
          </w:tcPr>
          <w:p>
            <w:pPr>
              <w:jc w:val="center"/>
            </w:pPr>
            <w:r>
              <w:rPr>
                <w:rFonts w:ascii="Times New Roman" w:hAnsi="Times New Roman"/>
                <w:sz w:val="20"/>
              </w:rPr>
              <w:t>0.9996</w:t>
            </w:r>
          </w:p>
        </w:tc>
        <w:tc>
          <w:tcPr>
            <w:tcW w:type="dxa" w:w="1337"/>
          </w:tcPr>
          <w:p>
            <w:pPr>
              <w:jc w:val="center"/>
            </w:pPr>
            <w:r>
              <w:rPr>
                <w:rFonts w:ascii="Times New Roman" w:hAnsi="Times New Roman"/>
                <w:sz w:val="20"/>
              </w:rPr>
              <w:t>0.9762</w:t>
            </w:r>
          </w:p>
        </w:tc>
      </w:tr>
      <w:tr>
        <w:tc>
          <w:tcPr>
            <w:tcW w:type="dxa" w:w="1337"/>
          </w:tcPr>
          <w:p>
            <w:pPr>
              <w:jc w:val="center"/>
            </w:pPr>
            <w:r>
              <w:rPr>
                <w:rFonts w:ascii="Times New Roman" w:hAnsi="Times New Roman"/>
                <w:sz w:val="20"/>
              </w:rPr>
              <w:t>XGBoost</w:t>
            </w:r>
          </w:p>
        </w:tc>
        <w:tc>
          <w:tcPr>
            <w:tcW w:type="dxa" w:w="1337"/>
          </w:tcPr>
          <w:p>
            <w:pPr>
              <w:jc w:val="center"/>
            </w:pPr>
            <w:r>
              <w:rPr>
                <w:rFonts w:ascii="Times New Roman" w:hAnsi="Times New Roman"/>
                <w:sz w:val="20"/>
              </w:rPr>
              <w:t>1.0000</w:t>
            </w:r>
          </w:p>
        </w:tc>
        <w:tc>
          <w:tcPr>
            <w:tcW w:type="dxa" w:w="1337"/>
          </w:tcPr>
          <w:p>
            <w:pPr>
              <w:jc w:val="center"/>
            </w:pPr>
            <w:r>
              <w:rPr>
                <w:rFonts w:ascii="Times New Roman" w:hAnsi="Times New Roman"/>
                <w:sz w:val="20"/>
              </w:rPr>
              <w:t>1.0000</w:t>
            </w:r>
          </w:p>
        </w:tc>
        <w:tc>
          <w:tcPr>
            <w:tcW w:type="dxa" w:w="1337"/>
          </w:tcPr>
          <w:p>
            <w:pPr>
              <w:jc w:val="center"/>
            </w:pPr>
            <w:r>
              <w:rPr>
                <w:rFonts w:ascii="Times New Roman" w:hAnsi="Times New Roman"/>
                <w:sz w:val="20"/>
              </w:rPr>
              <w:t>1.0000</w:t>
            </w:r>
          </w:p>
        </w:tc>
        <w:tc>
          <w:tcPr>
            <w:tcW w:type="dxa" w:w="1337"/>
          </w:tcPr>
          <w:p>
            <w:pPr>
              <w:jc w:val="center"/>
            </w:pPr>
            <w:r>
              <w:rPr>
                <w:rFonts w:ascii="Times New Roman" w:hAnsi="Times New Roman"/>
                <w:sz w:val="20"/>
              </w:rPr>
              <w:t>1.0000</w:t>
            </w:r>
          </w:p>
        </w:tc>
        <w:tc>
          <w:tcPr>
            <w:tcW w:type="dxa" w:w="1337"/>
          </w:tcPr>
          <w:p>
            <w:pPr>
              <w:jc w:val="center"/>
            </w:pPr>
            <w:r>
              <w:rPr>
                <w:rFonts w:ascii="Times New Roman" w:hAnsi="Times New Roman"/>
                <w:sz w:val="20"/>
              </w:rPr>
              <w:t>1.0000</w:t>
            </w:r>
          </w:p>
        </w:tc>
        <w:tc>
          <w:tcPr>
            <w:tcW w:type="dxa" w:w="1337"/>
          </w:tcPr>
          <w:p>
            <w:pPr>
              <w:jc w:val="center"/>
            </w:pPr>
            <w:r>
              <w:rPr>
                <w:rFonts w:ascii="Times New Roman" w:hAnsi="Times New Roman"/>
                <w:sz w:val="20"/>
              </w:rPr>
              <w:t>1.0000</w:t>
            </w:r>
          </w:p>
        </w:tc>
      </w:tr>
    </w:tbl>
    <w:p>
      <w:pPr>
        <w:spacing w:before="0" w:after="0" w:line="480" w:lineRule="auto"/>
        <w:ind w:firstLine="720"/>
        <w:jc w:val="both"/>
      </w:pPr>
      <w:r>
        <w:rPr>
          <w:rFonts w:ascii="Times New Roman" w:hAnsi="Times New Roman"/>
          <w:b/>
          <w:i w:val="0"/>
          <w:sz w:val="24"/>
        </w:rPr>
        <w:t>As shown in Table 11, all four models exceed the target AUC-ROC of 0.85, strongly confirming Hypothesis H3.</w:t>
      </w:r>
    </w:p>
    <w:p>
      <w:pPr>
        <w:pStyle w:val="Heading2"/>
        <w:spacing w:before="40" w:after="40"/>
      </w:pPr>
      <w:r>
        <w:rPr>
          <w:rFonts w:ascii="Times New Roman" w:hAnsi="Times New Roman"/>
          <w:color w:val="000000"/>
          <w:sz w:val="26"/>
        </w:rPr>
        <w:t>Best Model and Confusion Matrix Analysis</w:t>
      </w:r>
    </w:p>
    <w:p>
      <w:pPr>
        <w:spacing w:before="0" w:after="0" w:line="480" w:lineRule="auto"/>
        <w:ind w:firstLine="720"/>
        <w:jc w:val="both"/>
      </w:pPr>
      <w:r>
        <w:rPr>
          <w:rFonts w:ascii="Times New Roman" w:hAnsi="Times New Roman"/>
          <w:b/>
          <w:i w:val="0"/>
          <w:sz w:val="24"/>
        </w:rPr>
        <w:t xml:space="preserve">Best Performing Model: </w:t>
      </w:r>
      <w:r>
        <w:rPr>
          <w:rFonts w:ascii="Times New Roman" w:hAnsi="Times New Roman"/>
          <w:b w:val="0"/>
          <w:i w:val="0"/>
          <w:sz w:val="24"/>
        </w:rPr>
        <w:t>XGBoost achieves perfect classification on the held-out test set with AUC-ROC = 1.0000. The confusion matrix shows: True Positives (TP) = 110, True Negatives (TN) = 26, False Positives (FP) = 0, False Negatives (FN) = 0. The gradient boosting framework with scale_pos_weight = class ratio handles the 4.2:1 class imbalance effectively, ensuring no valid designs are misclassified as invalid (zero false positives) and no invalid designs escape detection (zero false negatives).</w:t>
      </w:r>
    </w:p>
    <w:p>
      <w:pPr>
        <w:spacing w:before="0" w:after="0" w:line="480" w:lineRule="auto"/>
        <w:ind w:firstLine="720"/>
        <w:jc w:val="both"/>
      </w:pPr>
      <w:r>
        <w:rPr>
          <w:rFonts w:ascii="Times New Roman" w:hAnsi="Times New Roman"/>
          <w:b/>
          <w:i w:val="0"/>
          <w:sz w:val="24"/>
        </w:rPr>
        <w:t xml:space="preserve">Runner-Up: </w:t>
      </w:r>
      <w:r>
        <w:rPr>
          <w:rFonts w:ascii="Times New Roman" w:hAnsi="Times New Roman"/>
          <w:b w:val="0"/>
          <w:i w:val="0"/>
          <w:sz w:val="24"/>
        </w:rPr>
        <w:t>Random Forest achieves near-perfect performance (AUC-ROC = 0.9996), with only one false negative (FN = 1). Logistic Regression and MLP both exceed the target threshold but show lower MCC values (0.80 and 0.82 respectively), indicating less balanced handling of the minority class.</w:t>
      </w:r>
    </w:p>
    <w:p>
      <w:pPr>
        <w:pStyle w:val="Heading2"/>
        <w:spacing w:before="40" w:after="40"/>
      </w:pPr>
      <w:r>
        <w:rPr>
          <w:rFonts w:ascii="Times New Roman" w:hAnsi="Times New Roman"/>
          <w:color w:val="000000"/>
          <w:sz w:val="26"/>
        </w:rPr>
        <w:t>Stratified 5-Fold Cross-Validation</w:t>
      </w:r>
    </w:p>
    <w:p>
      <w:pPr>
        <w:spacing w:before="0" w:after="0" w:line="480" w:lineRule="auto"/>
        <w:ind w:firstLine="720"/>
        <w:jc w:val="both"/>
      </w:pPr>
      <w:r>
        <w:rPr>
          <w:rFonts w:ascii="Times New Roman" w:hAnsi="Times New Roman"/>
          <w:b w:val="0"/>
          <w:i w:val="0"/>
          <w:sz w:val="24"/>
        </w:rPr>
        <w:t>To assess robustness, stratified 5-fold cross-validation was conducted on the entire dataset. Table 12 presents the results.</w:t>
      </w:r>
    </w:p>
    <w:p>
      <w:pPr>
        <w:spacing w:before="80" w:after="0" w:line="240" w:lineRule="auto"/>
      </w:pPr>
      <w:r>
        <w:rPr>
          <w:rFonts w:ascii="Times New Roman" w:hAnsi="Times New Roman"/>
          <w:b/>
          <w:i/>
          <w:sz w:val="22"/>
        </w:rPr>
        <w:t>Table 12</w:t>
      </w:r>
    </w:p>
    <w:p>
      <w:pPr>
        <w:spacing w:before="0" w:after="40" w:line="240" w:lineRule="auto"/>
      </w:pPr>
      <w:r>
        <w:rPr>
          <w:rFonts w:ascii="Times New Roman" w:hAnsi="Times New Roman"/>
          <w:i/>
          <w:sz w:val="22"/>
        </w:rPr>
        <w:t>Stratified 5-Fold Cross-Validation Results (AUC-ROC)</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jc w:val="center"/>
            </w:pPr>
            <w:r>
              <w:rPr>
                <w:rFonts w:ascii="Times New Roman" w:hAnsi="Times New Roman"/>
                <w:b/>
                <w:sz w:val="20"/>
              </w:rPr>
              <w:t>Model</w:t>
            </w:r>
          </w:p>
        </w:tc>
        <w:tc>
          <w:tcPr>
            <w:tcW w:type="dxa" w:w="1872"/>
            <w:shd w:fill="D9E2F3"/>
          </w:tcPr>
          <w:p>
            <w:pPr>
              <w:jc w:val="center"/>
            </w:pPr>
            <w:r>
              <w:rPr>
                <w:rFonts w:ascii="Times New Roman" w:hAnsi="Times New Roman"/>
                <w:b/>
                <w:sz w:val="20"/>
              </w:rPr>
              <w:t>Mean AUC-ROC</w:t>
            </w:r>
          </w:p>
        </w:tc>
        <w:tc>
          <w:tcPr>
            <w:tcW w:type="dxa" w:w="1872"/>
            <w:shd w:fill="D9E2F3"/>
          </w:tcPr>
          <w:p>
            <w:pPr>
              <w:jc w:val="center"/>
            </w:pPr>
            <w:r>
              <w:rPr>
                <w:rFonts w:ascii="Times New Roman" w:hAnsi="Times New Roman"/>
                <w:b/>
                <w:sz w:val="20"/>
              </w:rPr>
              <w:t>Std</w:t>
            </w:r>
          </w:p>
        </w:tc>
        <w:tc>
          <w:tcPr>
            <w:tcW w:type="dxa" w:w="1872"/>
            <w:shd w:fill="D9E2F3"/>
          </w:tcPr>
          <w:p>
            <w:pPr>
              <w:jc w:val="center"/>
            </w:pPr>
            <w:r>
              <w:rPr>
                <w:rFonts w:ascii="Times New Roman" w:hAnsi="Times New Roman"/>
                <w:b/>
                <w:sz w:val="20"/>
              </w:rPr>
              <w:t>Min</w:t>
            </w:r>
          </w:p>
        </w:tc>
        <w:tc>
          <w:tcPr>
            <w:tcW w:type="dxa" w:w="1872"/>
            <w:shd w:fill="D9E2F3"/>
          </w:tcPr>
          <w:p>
            <w:pPr>
              <w:jc w:val="center"/>
            </w:pPr>
            <w:r>
              <w:rPr>
                <w:rFonts w:ascii="Times New Roman" w:hAnsi="Times New Roman"/>
                <w:b/>
                <w:sz w:val="20"/>
              </w:rPr>
              <w:t>Max</w:t>
            </w:r>
          </w:p>
        </w:tc>
      </w:tr>
      <w:tr>
        <w:tc>
          <w:tcPr>
            <w:tcW w:type="dxa" w:w="1872"/>
          </w:tcPr>
          <w:p>
            <w:pPr>
              <w:jc w:val="center"/>
            </w:pPr>
            <w:r>
              <w:rPr>
                <w:rFonts w:ascii="Times New Roman" w:hAnsi="Times New Roman"/>
                <w:sz w:val="20"/>
              </w:rPr>
              <w:t>Logistic Regression</w:t>
            </w:r>
          </w:p>
        </w:tc>
        <w:tc>
          <w:tcPr>
            <w:tcW w:type="dxa" w:w="1872"/>
          </w:tcPr>
          <w:p>
            <w:pPr>
              <w:jc w:val="center"/>
            </w:pPr>
            <w:r>
              <w:rPr>
                <w:rFonts w:ascii="Times New Roman" w:hAnsi="Times New Roman"/>
                <w:sz w:val="20"/>
              </w:rPr>
              <w:t>0.8944</w:t>
            </w:r>
          </w:p>
        </w:tc>
        <w:tc>
          <w:tcPr>
            <w:tcW w:type="dxa" w:w="1872"/>
          </w:tcPr>
          <w:p>
            <w:pPr>
              <w:jc w:val="center"/>
            </w:pPr>
            <w:r>
              <w:rPr>
                <w:rFonts w:ascii="Times New Roman" w:hAnsi="Times New Roman"/>
                <w:sz w:val="20"/>
              </w:rPr>
              <w:t>0.0335</w:t>
            </w:r>
          </w:p>
        </w:tc>
        <w:tc>
          <w:tcPr>
            <w:tcW w:type="dxa" w:w="1872"/>
          </w:tcPr>
          <w:p>
            <w:pPr>
              <w:jc w:val="center"/>
            </w:pPr>
            <w:r>
              <w:rPr>
                <w:rFonts w:ascii="Times New Roman" w:hAnsi="Times New Roman"/>
                <w:sz w:val="20"/>
              </w:rPr>
              <w:t>0.8337</w:t>
            </w:r>
          </w:p>
        </w:tc>
        <w:tc>
          <w:tcPr>
            <w:tcW w:type="dxa" w:w="1872"/>
          </w:tcPr>
          <w:p>
            <w:pPr>
              <w:jc w:val="center"/>
            </w:pPr>
            <w:r>
              <w:rPr>
                <w:rFonts w:ascii="Times New Roman" w:hAnsi="Times New Roman"/>
                <w:sz w:val="20"/>
              </w:rPr>
              <w:t>0.9320</w:t>
            </w:r>
          </w:p>
        </w:tc>
      </w:tr>
      <w:tr>
        <w:tc>
          <w:tcPr>
            <w:tcW w:type="dxa" w:w="1872"/>
          </w:tcPr>
          <w:p>
            <w:pPr>
              <w:jc w:val="center"/>
            </w:pPr>
            <w:r>
              <w:rPr>
                <w:rFonts w:ascii="Times New Roman" w:hAnsi="Times New Roman"/>
                <w:sz w:val="20"/>
              </w:rPr>
              <w:t>MLP</w:t>
            </w:r>
          </w:p>
        </w:tc>
        <w:tc>
          <w:tcPr>
            <w:tcW w:type="dxa" w:w="1872"/>
          </w:tcPr>
          <w:p>
            <w:pPr>
              <w:jc w:val="center"/>
            </w:pPr>
            <w:r>
              <w:rPr>
                <w:rFonts w:ascii="Times New Roman" w:hAnsi="Times New Roman"/>
                <w:sz w:val="20"/>
              </w:rPr>
              <w:t>0.8866</w:t>
            </w:r>
          </w:p>
        </w:tc>
        <w:tc>
          <w:tcPr>
            <w:tcW w:type="dxa" w:w="1872"/>
          </w:tcPr>
          <w:p>
            <w:pPr>
              <w:jc w:val="center"/>
            </w:pPr>
            <w:r>
              <w:rPr>
                <w:rFonts w:ascii="Times New Roman" w:hAnsi="Times New Roman"/>
                <w:sz w:val="20"/>
              </w:rPr>
              <w:t>0.0372</w:t>
            </w:r>
          </w:p>
        </w:tc>
        <w:tc>
          <w:tcPr>
            <w:tcW w:type="dxa" w:w="1872"/>
          </w:tcPr>
          <w:p>
            <w:pPr>
              <w:jc w:val="center"/>
            </w:pPr>
            <w:r>
              <w:rPr>
                <w:rFonts w:ascii="Times New Roman" w:hAnsi="Times New Roman"/>
                <w:sz w:val="20"/>
              </w:rPr>
              <w:t>0.8199</w:t>
            </w:r>
          </w:p>
        </w:tc>
        <w:tc>
          <w:tcPr>
            <w:tcW w:type="dxa" w:w="1872"/>
          </w:tcPr>
          <w:p>
            <w:pPr>
              <w:jc w:val="center"/>
            </w:pPr>
            <w:r>
              <w:rPr>
                <w:rFonts w:ascii="Times New Roman" w:hAnsi="Times New Roman"/>
                <w:sz w:val="20"/>
              </w:rPr>
              <w:t>0.9294</w:t>
            </w:r>
          </w:p>
        </w:tc>
      </w:tr>
      <w:tr>
        <w:tc>
          <w:tcPr>
            <w:tcW w:type="dxa" w:w="1872"/>
          </w:tcPr>
          <w:p>
            <w:pPr>
              <w:jc w:val="center"/>
            </w:pPr>
            <w:r>
              <w:rPr>
                <w:rFonts w:ascii="Times New Roman" w:hAnsi="Times New Roman"/>
                <w:sz w:val="20"/>
              </w:rPr>
              <w:t>Random Forest</w:t>
            </w:r>
          </w:p>
        </w:tc>
        <w:tc>
          <w:tcPr>
            <w:tcW w:type="dxa" w:w="1872"/>
          </w:tcPr>
          <w:p>
            <w:pPr>
              <w:jc w:val="center"/>
            </w:pPr>
            <w:r>
              <w:rPr>
                <w:rFonts w:ascii="Times New Roman" w:hAnsi="Times New Roman"/>
                <w:sz w:val="20"/>
              </w:rPr>
              <w:t>0.9992</w:t>
            </w:r>
          </w:p>
        </w:tc>
        <w:tc>
          <w:tcPr>
            <w:tcW w:type="dxa" w:w="1872"/>
          </w:tcPr>
          <w:p>
            <w:pPr>
              <w:jc w:val="center"/>
            </w:pPr>
            <w:r>
              <w:rPr>
                <w:rFonts w:ascii="Times New Roman" w:hAnsi="Times New Roman"/>
                <w:sz w:val="20"/>
              </w:rPr>
              <w:t>0.0009</w:t>
            </w:r>
          </w:p>
        </w:tc>
        <w:tc>
          <w:tcPr>
            <w:tcW w:type="dxa" w:w="1872"/>
          </w:tcPr>
          <w:p>
            <w:pPr>
              <w:jc w:val="center"/>
            </w:pPr>
            <w:r>
              <w:rPr>
                <w:rFonts w:ascii="Times New Roman" w:hAnsi="Times New Roman"/>
                <w:sz w:val="20"/>
              </w:rPr>
              <w:t>0.9976</w:t>
            </w:r>
          </w:p>
        </w:tc>
        <w:tc>
          <w:tcPr>
            <w:tcW w:type="dxa" w:w="1872"/>
          </w:tcPr>
          <w:p>
            <w:pPr>
              <w:jc w:val="center"/>
            </w:pPr>
            <w:r>
              <w:rPr>
                <w:rFonts w:ascii="Times New Roman" w:hAnsi="Times New Roman"/>
                <w:sz w:val="20"/>
              </w:rPr>
              <w:t>1.0000</w:t>
            </w:r>
          </w:p>
        </w:tc>
      </w:tr>
      <w:tr>
        <w:tc>
          <w:tcPr>
            <w:tcW w:type="dxa" w:w="1872"/>
          </w:tcPr>
          <w:p>
            <w:pPr>
              <w:jc w:val="center"/>
            </w:pPr>
            <w:r>
              <w:rPr>
                <w:rFonts w:ascii="Times New Roman" w:hAnsi="Times New Roman"/>
                <w:sz w:val="20"/>
              </w:rPr>
              <w:t>XGBoost</w:t>
            </w:r>
          </w:p>
        </w:tc>
        <w:tc>
          <w:tcPr>
            <w:tcW w:type="dxa" w:w="1872"/>
          </w:tcPr>
          <w:p>
            <w:pPr>
              <w:jc w:val="center"/>
            </w:pPr>
            <w:r>
              <w:rPr>
                <w:rFonts w:ascii="Times New Roman" w:hAnsi="Times New Roman"/>
                <w:sz w:val="20"/>
              </w:rPr>
              <w:t>0.9938</w:t>
            </w:r>
          </w:p>
        </w:tc>
        <w:tc>
          <w:tcPr>
            <w:tcW w:type="dxa" w:w="1872"/>
          </w:tcPr>
          <w:p>
            <w:pPr>
              <w:jc w:val="center"/>
            </w:pPr>
            <w:r>
              <w:rPr>
                <w:rFonts w:ascii="Times New Roman" w:hAnsi="Times New Roman"/>
                <w:sz w:val="20"/>
              </w:rPr>
              <w:t>0.0108</w:t>
            </w:r>
          </w:p>
        </w:tc>
        <w:tc>
          <w:tcPr>
            <w:tcW w:type="dxa" w:w="1872"/>
          </w:tcPr>
          <w:p>
            <w:pPr>
              <w:jc w:val="center"/>
            </w:pPr>
            <w:r>
              <w:rPr>
                <w:rFonts w:ascii="Times New Roman" w:hAnsi="Times New Roman"/>
                <w:sz w:val="20"/>
              </w:rPr>
              <w:t>0.9723</w:t>
            </w:r>
          </w:p>
        </w:tc>
        <w:tc>
          <w:tcPr>
            <w:tcW w:type="dxa" w:w="1872"/>
          </w:tcPr>
          <w:p>
            <w:pPr>
              <w:jc w:val="center"/>
            </w:pPr>
            <w:r>
              <w:rPr>
                <w:rFonts w:ascii="Times New Roman" w:hAnsi="Times New Roman"/>
                <w:sz w:val="20"/>
              </w:rPr>
              <w:t>1.0000</w:t>
            </w:r>
          </w:p>
        </w:tc>
      </w:tr>
    </w:tbl>
    <w:p>
      <w:pPr>
        <w:spacing w:before="0" w:after="0" w:line="480" w:lineRule="auto"/>
        <w:ind w:firstLine="720"/>
        <w:jc w:val="both"/>
      </w:pPr>
      <w:r>
        <w:rPr>
          <w:rFonts w:ascii="Times New Roman" w:hAnsi="Times New Roman"/>
          <w:b w:val="0"/>
          <w:i w:val="0"/>
          <w:sz w:val="24"/>
        </w:rPr>
        <w:t>XGBoost cross-validation mean AUC = 0.9938 with standard deviation 0.011 confirms genuine predictive signal. The low variance across folds (min = 0.972, max = 1.000) indicates stable performance regardless of the specific train-test partition. Figure 3 presents confusion matrices and ROC curves for all four classifiers.</w:t>
      </w:r>
    </w:p>
    <w:p>
      <w:pPr>
        <w:pStyle w:val="Heading2"/>
        <w:spacing w:before="40" w:after="40"/>
      </w:pPr>
      <w:r>
        <w:rPr>
          <w:rFonts w:ascii="Times New Roman" w:hAnsi="Times New Roman"/>
          <w:color w:val="000000"/>
          <w:sz w:val="26"/>
        </w:rPr>
        <w:t>Feature Importance Results</w:t>
      </w:r>
    </w:p>
    <w:p>
      <w:pPr>
        <w:spacing w:before="0" w:after="0" w:line="480" w:lineRule="auto"/>
        <w:ind w:firstLine="720"/>
        <w:jc w:val="both"/>
      </w:pPr>
      <w:r>
        <w:rPr>
          <w:rFonts w:ascii="Times New Roman" w:hAnsi="Times New Roman"/>
          <w:b w:val="0"/>
          <w:i w:val="0"/>
          <w:sz w:val="24"/>
        </w:rPr>
        <w:t>Across all models, Mode 11 Frequency consistently emerges as the most important predictor. XGBoost feature importance confirms Mode 11 Frequency (importance = 0.413) and Stiffness Ratio (importance = 0.297) as the two dominant features, collectively accounting for 71% of the model’s predictive power. This finding is consistent across Random Forest feature importance, point-biserial correlations, and the CART decision tree root split, providing convergent validity for the dominance of high-frequency stiffness in determining validation outcomes.</w:t>
      </w:r>
    </w:p>
    <w:p>
      <w:pPr>
        <w:jc w:val="center"/>
      </w:pPr>
      <w:r>
        <w:drawing>
          <wp:inline xmlns:a="http://schemas.openxmlformats.org/drawingml/2006/main" xmlns:pic="http://schemas.openxmlformats.org/drawingml/2006/picture">
            <wp:extent cx="4389120" cy="1550339"/>
            <wp:docPr id="3" name="Picture 3"/>
            <wp:cNvGraphicFramePr>
              <a:graphicFrameLocks noChangeAspect="1"/>
            </wp:cNvGraphicFramePr>
            <a:graphic>
              <a:graphicData uri="http://schemas.openxmlformats.org/drawingml/2006/picture">
                <pic:pic>
                  <pic:nvPicPr>
                    <pic:cNvPr id="0" name="rq3_model_performance.png"/>
                    <pic:cNvPicPr/>
                  </pic:nvPicPr>
                  <pic:blipFill>
                    <a:blip r:embed="rId11"/>
                    <a:stretch>
                      <a:fillRect/>
                    </a:stretch>
                  </pic:blipFill>
                  <pic:spPr>
                    <a:xfrm>
                      <a:off x="0" y="0"/>
                      <a:ext cx="4389120" cy="1550339"/>
                    </a:xfrm>
                    <a:prstGeom prst="rect"/>
                  </pic:spPr>
                </pic:pic>
              </a:graphicData>
            </a:graphic>
          </wp:inline>
        </w:drawing>
      </w:r>
    </w:p>
    <w:p>
      <w:pPr>
        <w:spacing w:before="40" w:after="80" w:line="240" w:lineRule="auto"/>
        <w:jc w:val="both"/>
      </w:pPr>
      <w:r>
        <w:rPr>
          <w:rFonts w:ascii="Times New Roman" w:hAnsi="Times New Roman"/>
          <w:b/>
          <w:i/>
          <w:sz w:val="22"/>
        </w:rPr>
        <w:t xml:space="preserve">Figure 3. </w:t>
      </w:r>
      <w:r>
        <w:rPr>
          <w:rFonts w:ascii="Times New Roman" w:hAnsi="Times New Roman"/>
          <w:i/>
          <w:sz w:val="22"/>
        </w:rPr>
        <w:t>Model Performance Comparison. Confusion matrices and ROC curves for Logistic Regression, MLP, Random Forest, and XGBoost classifiers. XGBoost achieves perfect classification on the test set.</w:t>
      </w:r>
    </w:p>
    <w:p>
      <w:pPr>
        <w:pStyle w:val="Heading2"/>
        <w:spacing w:before="40" w:after="40"/>
      </w:pPr>
      <w:r>
        <w:rPr>
          <w:rFonts w:ascii="Times New Roman" w:hAnsi="Times New Roman"/>
          <w:color w:val="000000"/>
          <w:sz w:val="26"/>
        </w:rPr>
        <w:t>RQ4 Preliminary Results: Design Patterns</w:t>
      </w:r>
    </w:p>
    <w:p>
      <w:pPr>
        <w:spacing w:before="0" w:after="0" w:line="480" w:lineRule="auto"/>
        <w:ind w:firstLine="720"/>
        <w:jc w:val="both"/>
      </w:pPr>
      <w:r>
        <w:rPr>
          <w:rFonts w:ascii="Times New Roman" w:hAnsi="Times New Roman"/>
          <w:b/>
          <w:i w:val="0"/>
          <w:sz w:val="24"/>
        </w:rPr>
        <w:t xml:space="preserve">Optimal Clusters: </w:t>
      </w:r>
      <w:r>
        <w:rPr>
          <w:rFonts w:ascii="Times New Roman" w:hAnsi="Times New Roman"/>
          <w:b w:val="0"/>
          <w:i w:val="0"/>
          <w:sz w:val="24"/>
        </w:rPr>
        <w:t>Silhouette analysis identifies k = 2 as the optimal cluster count (silhouette score = 0.487), suggesting the design space naturally bifurcates into two distinct regions. Table 13 presents the characteristics of each cluster.</w:t>
      </w:r>
    </w:p>
    <w:p>
      <w:pPr>
        <w:spacing w:before="80" w:after="0" w:line="240" w:lineRule="auto"/>
      </w:pPr>
      <w:r>
        <w:rPr>
          <w:rFonts w:ascii="Times New Roman" w:hAnsi="Times New Roman"/>
          <w:b/>
          <w:i/>
          <w:sz w:val="22"/>
        </w:rPr>
        <w:t>Table 13</w:t>
      </w:r>
    </w:p>
    <w:p>
      <w:pPr>
        <w:spacing w:before="0" w:after="40" w:line="240" w:lineRule="auto"/>
      </w:pPr>
      <w:r>
        <w:rPr>
          <w:rFonts w:ascii="Times New Roman" w:hAnsi="Times New Roman"/>
          <w:i/>
          <w:sz w:val="22"/>
        </w:rPr>
        <w:t>K-Means Cluster Characteristics and Validation Rates (k = 2)</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D9E2F3"/>
          </w:tcPr>
          <w:p>
            <w:pPr>
              <w:jc w:val="center"/>
            </w:pPr>
            <w:r>
              <w:rPr>
                <w:rFonts w:ascii="Times New Roman" w:hAnsi="Times New Roman"/>
                <w:b/>
                <w:sz w:val="20"/>
              </w:rPr>
              <w:t>Cluster</w:t>
            </w:r>
          </w:p>
        </w:tc>
        <w:tc>
          <w:tcPr>
            <w:tcW w:type="dxa" w:w="1337"/>
            <w:shd w:fill="D9E2F3"/>
          </w:tcPr>
          <w:p>
            <w:pPr>
              <w:jc w:val="center"/>
            </w:pPr>
            <w:r>
              <w:rPr>
                <w:rFonts w:ascii="Times New Roman" w:hAnsi="Times New Roman"/>
                <w:b/>
                <w:sz w:val="20"/>
              </w:rPr>
              <w:t>Mass (kg)</w:t>
            </w:r>
          </w:p>
        </w:tc>
        <w:tc>
          <w:tcPr>
            <w:tcW w:type="dxa" w:w="1337"/>
            <w:shd w:fill="D9E2F3"/>
          </w:tcPr>
          <w:p>
            <w:pPr>
              <w:jc w:val="center"/>
            </w:pPr>
            <w:r>
              <w:rPr>
                <w:rFonts w:ascii="Times New Roman" w:hAnsi="Times New Roman"/>
                <w:b/>
                <w:sz w:val="20"/>
              </w:rPr>
              <w:t>Mode7 (Hz)</w:t>
            </w:r>
          </w:p>
        </w:tc>
        <w:tc>
          <w:tcPr>
            <w:tcW w:type="dxa" w:w="1337"/>
            <w:shd w:fill="D9E2F3"/>
          </w:tcPr>
          <w:p>
            <w:pPr>
              <w:jc w:val="center"/>
            </w:pPr>
            <w:r>
              <w:rPr>
                <w:rFonts w:ascii="Times New Roman" w:hAnsi="Times New Roman"/>
                <w:b/>
                <w:sz w:val="20"/>
              </w:rPr>
              <w:t>Mode11 (Hz)</w:t>
            </w:r>
          </w:p>
        </w:tc>
        <w:tc>
          <w:tcPr>
            <w:tcW w:type="dxa" w:w="1337"/>
            <w:shd w:fill="D9E2F3"/>
          </w:tcPr>
          <w:p>
            <w:pPr>
              <w:jc w:val="center"/>
            </w:pPr>
            <w:r>
              <w:rPr>
                <w:rFonts w:ascii="Times New Roman" w:hAnsi="Times New Roman"/>
                <w:b/>
                <w:sz w:val="20"/>
              </w:rPr>
              <w:t>Stiff. Ratio</w:t>
            </w:r>
          </w:p>
        </w:tc>
        <w:tc>
          <w:tcPr>
            <w:tcW w:type="dxa" w:w="1337"/>
            <w:shd w:fill="D9E2F3"/>
          </w:tcPr>
          <w:p>
            <w:pPr>
              <w:jc w:val="center"/>
            </w:pPr>
            <w:r>
              <w:rPr>
                <w:rFonts w:ascii="Times New Roman" w:hAnsi="Times New Roman"/>
                <w:b/>
                <w:sz w:val="20"/>
              </w:rPr>
              <w:t>Mass Eff.</w:t>
            </w:r>
          </w:p>
        </w:tc>
        <w:tc>
          <w:tcPr>
            <w:tcW w:type="dxa" w:w="1337"/>
            <w:shd w:fill="D9E2F3"/>
          </w:tcPr>
          <w:p>
            <w:pPr>
              <w:jc w:val="center"/>
            </w:pPr>
            <w:r>
              <w:rPr>
                <w:rFonts w:ascii="Times New Roman" w:hAnsi="Times New Roman"/>
                <w:b/>
                <w:sz w:val="20"/>
              </w:rPr>
              <w:t>Valid. Rate</w:t>
            </w:r>
          </w:p>
        </w:tc>
      </w:tr>
      <w:tr>
        <w:tc>
          <w:tcPr>
            <w:tcW w:type="dxa" w:w="1337"/>
          </w:tcPr>
          <w:p>
            <w:pPr>
              <w:jc w:val="center"/>
            </w:pPr>
            <w:r>
              <w:rPr>
                <w:rFonts w:ascii="Times New Roman" w:hAnsi="Times New Roman"/>
                <w:sz w:val="20"/>
              </w:rPr>
              <w:t>0 (High-quality)</w:t>
            </w:r>
          </w:p>
        </w:tc>
        <w:tc>
          <w:tcPr>
            <w:tcW w:type="dxa" w:w="1337"/>
          </w:tcPr>
          <w:p>
            <w:pPr>
              <w:jc w:val="center"/>
            </w:pPr>
            <w:r>
              <w:rPr>
                <w:rFonts w:ascii="Times New Roman" w:hAnsi="Times New Roman"/>
                <w:sz w:val="20"/>
              </w:rPr>
              <w:t>21.27</w:t>
            </w:r>
          </w:p>
        </w:tc>
        <w:tc>
          <w:tcPr>
            <w:tcW w:type="dxa" w:w="1337"/>
          </w:tcPr>
          <w:p>
            <w:pPr>
              <w:jc w:val="center"/>
            </w:pPr>
            <w:r>
              <w:rPr>
                <w:rFonts w:ascii="Times New Roman" w:hAnsi="Times New Roman"/>
                <w:sz w:val="20"/>
              </w:rPr>
              <w:t>431.65</w:t>
            </w:r>
          </w:p>
        </w:tc>
        <w:tc>
          <w:tcPr>
            <w:tcW w:type="dxa" w:w="1337"/>
          </w:tcPr>
          <w:p>
            <w:pPr>
              <w:jc w:val="center"/>
            </w:pPr>
            <w:r>
              <w:rPr>
                <w:rFonts w:ascii="Times New Roman" w:hAnsi="Times New Roman"/>
                <w:sz w:val="20"/>
              </w:rPr>
              <w:t>1217.56</w:t>
            </w:r>
          </w:p>
        </w:tc>
        <w:tc>
          <w:tcPr>
            <w:tcW w:type="dxa" w:w="1337"/>
          </w:tcPr>
          <w:p>
            <w:pPr>
              <w:jc w:val="center"/>
            </w:pPr>
            <w:r>
              <w:rPr>
                <w:rFonts w:ascii="Times New Roman" w:hAnsi="Times New Roman"/>
                <w:sz w:val="20"/>
              </w:rPr>
              <w:t>2.82</w:t>
            </w:r>
          </w:p>
        </w:tc>
        <w:tc>
          <w:tcPr>
            <w:tcW w:type="dxa" w:w="1337"/>
          </w:tcPr>
          <w:p>
            <w:pPr>
              <w:jc w:val="center"/>
            </w:pPr>
            <w:r>
              <w:rPr>
                <w:rFonts w:ascii="Times New Roman" w:hAnsi="Times New Roman"/>
                <w:sz w:val="20"/>
              </w:rPr>
              <w:t>38.77</w:t>
            </w:r>
          </w:p>
        </w:tc>
        <w:tc>
          <w:tcPr>
            <w:tcW w:type="dxa" w:w="1337"/>
          </w:tcPr>
          <w:p>
            <w:pPr>
              <w:jc w:val="center"/>
            </w:pPr>
            <w:r>
              <w:rPr>
                <w:rFonts w:ascii="Times New Roman" w:hAnsi="Times New Roman"/>
                <w:sz w:val="20"/>
              </w:rPr>
              <w:t>96%</w:t>
            </w:r>
          </w:p>
        </w:tc>
      </w:tr>
      <w:tr>
        <w:tc>
          <w:tcPr>
            <w:tcW w:type="dxa" w:w="1337"/>
          </w:tcPr>
          <w:p>
            <w:pPr>
              <w:jc w:val="center"/>
            </w:pPr>
            <w:r>
              <w:rPr>
                <w:rFonts w:ascii="Times New Roman" w:hAnsi="Times New Roman"/>
                <w:sz w:val="20"/>
              </w:rPr>
              <w:t>1 (At-risk)</w:t>
            </w:r>
          </w:p>
        </w:tc>
        <w:tc>
          <w:tcPr>
            <w:tcW w:type="dxa" w:w="1337"/>
          </w:tcPr>
          <w:p>
            <w:pPr>
              <w:jc w:val="center"/>
            </w:pPr>
            <w:r>
              <w:rPr>
                <w:rFonts w:ascii="Times New Roman" w:hAnsi="Times New Roman"/>
                <w:sz w:val="20"/>
              </w:rPr>
              <w:t>19.54</w:t>
            </w:r>
          </w:p>
        </w:tc>
        <w:tc>
          <w:tcPr>
            <w:tcW w:type="dxa" w:w="1337"/>
          </w:tcPr>
          <w:p>
            <w:pPr>
              <w:jc w:val="center"/>
            </w:pPr>
            <w:r>
              <w:rPr>
                <w:rFonts w:ascii="Times New Roman" w:hAnsi="Times New Roman"/>
                <w:sz w:val="20"/>
              </w:rPr>
              <w:t>398.94</w:t>
            </w:r>
          </w:p>
        </w:tc>
        <w:tc>
          <w:tcPr>
            <w:tcW w:type="dxa" w:w="1337"/>
          </w:tcPr>
          <w:p>
            <w:pPr>
              <w:jc w:val="center"/>
            </w:pPr>
            <w:r>
              <w:rPr>
                <w:rFonts w:ascii="Times New Roman" w:hAnsi="Times New Roman"/>
                <w:sz w:val="20"/>
              </w:rPr>
              <w:t>1027.03</w:t>
            </w:r>
          </w:p>
        </w:tc>
        <w:tc>
          <w:tcPr>
            <w:tcW w:type="dxa" w:w="1337"/>
          </w:tcPr>
          <w:p>
            <w:pPr>
              <w:jc w:val="center"/>
            </w:pPr>
            <w:r>
              <w:rPr>
                <w:rFonts w:ascii="Times New Roman" w:hAnsi="Times New Roman"/>
                <w:sz w:val="20"/>
              </w:rPr>
              <w:t>2.57</w:t>
            </w:r>
          </w:p>
        </w:tc>
        <w:tc>
          <w:tcPr>
            <w:tcW w:type="dxa" w:w="1337"/>
          </w:tcPr>
          <w:p>
            <w:pPr>
              <w:jc w:val="center"/>
            </w:pPr>
            <w:r>
              <w:rPr>
                <w:rFonts w:ascii="Times New Roman" w:hAnsi="Times New Roman"/>
                <w:sz w:val="20"/>
              </w:rPr>
              <w:t>36.50</w:t>
            </w:r>
          </w:p>
        </w:tc>
        <w:tc>
          <w:tcPr>
            <w:tcW w:type="dxa" w:w="1337"/>
          </w:tcPr>
          <w:p>
            <w:pPr>
              <w:jc w:val="center"/>
            </w:pPr>
            <w:r>
              <w:rPr>
                <w:rFonts w:ascii="Times New Roman" w:hAnsi="Times New Roman"/>
                <w:sz w:val="20"/>
              </w:rPr>
              <w:t>62%</w:t>
            </w:r>
          </w:p>
        </w:tc>
      </w:tr>
    </w:tbl>
    <w:p>
      <w:pPr>
        <w:spacing w:before="0" w:after="0" w:line="480" w:lineRule="auto"/>
        <w:ind w:firstLine="720"/>
        <w:jc w:val="both"/>
      </w:pPr>
      <w:r>
        <w:rPr>
          <w:rFonts w:ascii="Times New Roman" w:hAnsi="Times New Roman"/>
          <w:b w:val="0"/>
          <w:i w:val="0"/>
          <w:sz w:val="24"/>
        </w:rPr>
        <w:t>As shown in Table 13, Cluster 0 achieves 96% validation rate with higher frequencies across all modes, particularly Mode 11 (1218 Hz vs. 1027 Hz). This confirms that Mode 11 Frequency is the key differentiator between valid and invalid designs.</w:t>
      </w:r>
    </w:p>
    <w:p>
      <w:pPr>
        <w:spacing w:before="0" w:after="0" w:line="480" w:lineRule="auto"/>
        <w:ind w:firstLine="720"/>
        <w:jc w:val="both"/>
      </w:pPr>
      <w:r>
        <w:rPr>
          <w:rFonts w:ascii="Times New Roman" w:hAnsi="Times New Roman"/>
          <w:b/>
          <w:i w:val="0"/>
          <w:sz w:val="24"/>
        </w:rPr>
        <w:t xml:space="preserve">Decision Tree Rules: </w:t>
      </w:r>
      <w:r>
        <w:rPr>
          <w:rFonts w:ascii="Times New Roman" w:hAnsi="Times New Roman"/>
          <w:b w:val="0"/>
          <w:i w:val="0"/>
          <w:sz w:val="24"/>
        </w:rPr>
        <w:t>An interpretable CART decision tree (max_depth = 4) identifies Mode 11 Frequency ≤ 1000 Hz as the primary failure indicator (see Figure 4). Secondary splits consider Mass and Stiffness Ratio for boundary cases. This simple rule enables engineers to establish quick design guidelines: Mode 11 Frequency must exceed 1000 Hz for validation.</w:t>
      </w:r>
    </w:p>
    <w:p>
      <w:pPr>
        <w:spacing w:before="0" w:after="0" w:line="480" w:lineRule="auto"/>
        <w:ind w:firstLine="720"/>
        <w:jc w:val="both"/>
      </w:pPr>
      <w:r>
        <w:rPr>
          <w:rFonts w:ascii="Times New Roman" w:hAnsi="Times New Roman"/>
          <w:b/>
          <w:i w:val="0"/>
          <w:sz w:val="24"/>
        </w:rPr>
        <w:t xml:space="preserve">PCA Visualization: </w:t>
      </w:r>
      <w:r>
        <w:rPr>
          <w:rFonts w:ascii="Times New Roman" w:hAnsi="Times New Roman"/>
          <w:b w:val="0"/>
          <w:i w:val="0"/>
          <w:sz w:val="24"/>
        </w:rPr>
        <w:t>Two-dimensional PCA projection capturing 96.8% of variance reveals clear separation between valid and invalid designs, confirming that the parametric feature space contains sufficient information for reliable classification.</w:t>
      </w:r>
    </w:p>
    <w:p>
      <w:pPr>
        <w:jc w:val="center"/>
      </w:pPr>
      <w:r>
        <w:drawing>
          <wp:inline xmlns:a="http://schemas.openxmlformats.org/drawingml/2006/main" xmlns:pic="http://schemas.openxmlformats.org/drawingml/2006/picture">
            <wp:extent cx="4389120" cy="2270974"/>
            <wp:docPr id="4" name="Picture 4"/>
            <wp:cNvGraphicFramePr>
              <a:graphicFrameLocks noChangeAspect="1"/>
            </wp:cNvGraphicFramePr>
            <a:graphic>
              <a:graphicData uri="http://schemas.openxmlformats.org/drawingml/2006/picture">
                <pic:pic>
                  <pic:nvPicPr>
                    <pic:cNvPr id="0" name="decision_tree.png"/>
                    <pic:cNvPicPr/>
                  </pic:nvPicPr>
                  <pic:blipFill>
                    <a:blip r:embed="rId12"/>
                    <a:stretch>
                      <a:fillRect/>
                    </a:stretch>
                  </pic:blipFill>
                  <pic:spPr>
                    <a:xfrm>
                      <a:off x="0" y="0"/>
                      <a:ext cx="4389120" cy="2270974"/>
                    </a:xfrm>
                    <a:prstGeom prst="rect"/>
                  </pic:spPr>
                </pic:pic>
              </a:graphicData>
            </a:graphic>
          </wp:inline>
        </w:drawing>
      </w:r>
    </w:p>
    <w:p>
      <w:pPr>
        <w:spacing w:before="40" w:after="80" w:line="240" w:lineRule="auto"/>
        <w:jc w:val="both"/>
      </w:pPr>
      <w:r>
        <w:rPr>
          <w:rFonts w:ascii="Times New Roman" w:hAnsi="Times New Roman"/>
          <w:b/>
          <w:i/>
          <w:sz w:val="22"/>
        </w:rPr>
        <w:t xml:space="preserve">Figure 4. </w:t>
      </w:r>
      <w:r>
        <w:rPr>
          <w:rFonts w:ascii="Times New Roman" w:hAnsi="Times New Roman"/>
          <w:i/>
          <w:sz w:val="22"/>
        </w:rPr>
        <w:t>Decision Tree Rules. Interpretable CART decision tree (max_depth = 4) for validation prediction. Mode 11 Frequency ≤ 1000 Hz is identified as the primary failure indicator at the root node.</w:t>
      </w:r>
    </w:p>
    <w:p>
      <w:pPr>
        <w:pStyle w:val="Heading2"/>
        <w:spacing w:before="40" w:after="40"/>
      </w:pPr>
      <w:r>
        <w:rPr>
          <w:rFonts w:ascii="Times New Roman" w:hAnsi="Times New Roman"/>
          <w:color w:val="000000"/>
          <w:sz w:val="26"/>
        </w:rPr>
        <w:t>Summary of Key Findings</w:t>
      </w:r>
    </w:p>
    <w:p>
      <w:pPr>
        <w:spacing w:before="0" w:after="0" w:line="480" w:lineRule="auto"/>
        <w:ind w:firstLine="720"/>
        <w:jc w:val="both"/>
      </w:pPr>
      <w:r>
        <w:rPr>
          <w:rFonts w:ascii="Times New Roman" w:hAnsi="Times New Roman"/>
          <w:b/>
          <w:i w:val="0"/>
          <w:sz w:val="24"/>
        </w:rPr>
        <w:t xml:space="preserve">RQ1 (Failure Rate): </w:t>
      </w:r>
      <w:r>
        <w:rPr>
          <w:rFonts w:ascii="Times New Roman" w:hAnsi="Times New Roman"/>
          <w:b w:val="0"/>
          <w:i w:val="0"/>
          <w:sz w:val="24"/>
        </w:rPr>
        <w:t>The overall failure rate is 18.58% (95% CI: 16.18%–21.25%), which is significantly below the hypothesized 25% threshold. Hypothesis H1 is not confirmed. The upper confidence bound (21.25%) remains below 25%, providing strong evidence that the DeepWheel generative model incorporates meaningful physics awareness.</w:t>
      </w:r>
    </w:p>
    <w:p>
      <w:pPr>
        <w:spacing w:before="0" w:after="0" w:line="480" w:lineRule="auto"/>
        <w:ind w:firstLine="720"/>
        <w:jc w:val="both"/>
      </w:pPr>
      <w:r>
        <w:rPr>
          <w:rFonts w:ascii="Times New Roman" w:hAnsi="Times New Roman"/>
          <w:b/>
          <w:i w:val="0"/>
          <w:sz w:val="24"/>
        </w:rPr>
        <w:t xml:space="preserve">RQ2 (Feature Importance): </w:t>
      </w:r>
      <w:r>
        <w:rPr>
          <w:rFonts w:ascii="Times New Roman" w:hAnsi="Times New Roman"/>
          <w:b w:val="0"/>
          <w:i w:val="0"/>
          <w:sz w:val="24"/>
        </w:rPr>
        <w:t>Mode 11 Frequency is the dominant predictor of validation failure, with Random Forest importance of 41.35% and point-biserial correlation r = 0.536. Combined with Stiffness Ratio (29.69%), these two features account for 71% of predictive importance. Hypothesis H2 is confirmed.</w:t>
      </w:r>
    </w:p>
    <w:p>
      <w:pPr>
        <w:spacing w:before="0" w:after="0" w:line="480" w:lineRule="auto"/>
        <w:ind w:firstLine="720"/>
        <w:jc w:val="both"/>
      </w:pPr>
      <w:r>
        <w:rPr>
          <w:rFonts w:ascii="Times New Roman" w:hAnsi="Times New Roman"/>
          <w:b/>
          <w:i w:val="0"/>
          <w:sz w:val="24"/>
        </w:rPr>
        <w:t xml:space="preserve">RQ3 (Classification): </w:t>
      </w:r>
      <w:r>
        <w:rPr>
          <w:rFonts w:ascii="Times New Roman" w:hAnsi="Times New Roman"/>
          <w:b w:val="0"/>
          <w:i w:val="0"/>
          <w:sz w:val="24"/>
        </w:rPr>
        <w:t>All four classifiers exceed the AUC-ROC ≥ 0.85 target. XGBoost achieves perfect classification (AUC-ROC = 1.0000) on the held-out test set, with cross-validation mean 0.9938 ± 0.011 confirming genuine signal rather than overfitting. Random Forest also shows near-perfect performance (AUC-ROC = 0.9996). Hypothesis H3 is strongly confirmed.</w:t>
      </w:r>
    </w:p>
    <w:p>
      <w:pPr>
        <w:spacing w:before="0" w:after="0" w:line="480" w:lineRule="auto"/>
        <w:ind w:firstLine="720"/>
        <w:jc w:val="both"/>
      </w:pPr>
      <w:r>
        <w:rPr>
          <w:rFonts w:ascii="Times New Roman" w:hAnsi="Times New Roman"/>
          <w:b/>
          <w:i w:val="0"/>
          <w:sz w:val="24"/>
        </w:rPr>
        <w:t xml:space="preserve">RQ4 (Design Patterns): </w:t>
      </w:r>
      <w:r>
        <w:rPr>
          <w:rFonts w:ascii="Times New Roman" w:hAnsi="Times New Roman"/>
          <w:b w:val="0"/>
          <w:i w:val="0"/>
          <w:sz w:val="24"/>
        </w:rPr>
        <w:t>K-Means clustering identifies two distinct design regions: a high-quality cluster (96% validation rate, Mode 11 = 1218 Hz, stiffness ratio = 2.82) and an at-risk cluster (62% validation rate, Mode 11 = 1027 Hz, stiffness ratio = 2.57). CART decision tree identifies Mode 11 Frequency ≤ 1000 Hz as the primary failure indicator. Hypothesis H4 is partially confirmed—valid designs do cluster at balanced ratios, though the mass range is broader than hypothesized.</w:t>
      </w:r>
    </w:p>
    <w:p>
      <w:pPr>
        <w:pStyle w:val="Heading2"/>
        <w:spacing w:before="40" w:after="40"/>
      </w:pPr>
      <w:r>
        <w:rPr>
          <w:rFonts w:ascii="Times New Roman" w:hAnsi="Times New Roman"/>
          <w:color w:val="000000"/>
          <w:sz w:val="26"/>
        </w:rPr>
        <w:t>Limitations and Discussion</w:t>
      </w:r>
    </w:p>
    <w:p>
      <w:pPr>
        <w:spacing w:before="0" w:after="0" w:line="480" w:lineRule="auto"/>
        <w:ind w:firstLine="720"/>
        <w:jc w:val="both"/>
      </w:pPr>
      <w:r>
        <w:rPr>
          <w:rFonts w:ascii="Times New Roman" w:hAnsi="Times New Roman"/>
          <w:b/>
          <w:i w:val="0"/>
          <w:sz w:val="24"/>
        </w:rPr>
        <w:t xml:space="preserve">Unexpected Findings: </w:t>
      </w:r>
      <w:r>
        <w:rPr>
          <w:rFonts w:ascii="Times New Roman" w:hAnsi="Times New Roman"/>
          <w:b w:val="0"/>
          <w:i w:val="0"/>
          <w:sz w:val="24"/>
        </w:rPr>
        <w:t>The failure rate (18.58%) was substantially lower than the hypothesized 25%, suggesting more physics awareness in the DeepWheel generative pipeline than initially expected. XGBoost’s perfect test-set performance (AUC-ROC = 1.000) raises legitimate concerns about potential data leakage or overfitting, though stratified 5-fold cross-validation (mean AUC = 0.994 ± 0.011) and the low variance across folds provide strong evidence of genuine predictive signal rather than artifact.</w:t>
      </w:r>
    </w:p>
    <w:p>
      <w:pPr>
        <w:spacing w:before="0" w:after="0" w:line="480" w:lineRule="auto"/>
        <w:ind w:firstLine="720"/>
        <w:jc w:val="both"/>
      </w:pPr>
      <w:r>
        <w:rPr>
          <w:rFonts w:ascii="Times New Roman" w:hAnsi="Times New Roman"/>
          <w:b/>
          <w:i w:val="0"/>
          <w:sz w:val="24"/>
        </w:rPr>
        <w:t xml:space="preserve">Limitations: </w:t>
      </w:r>
      <w:r>
        <w:rPr>
          <w:rFonts w:ascii="Times New Roman" w:hAnsi="Times New Roman"/>
          <w:b w:val="0"/>
          <w:i w:val="0"/>
          <w:sz w:val="24"/>
        </w:rPr>
        <w:t>Several factors constrain generalizability: (1) The analysis relies on a single generative pipeline (DeepWheel) with 904 designs; results may not generalize to other AI wheel generation approaches. (2) Engineering constraints are derived from published standards but may not capture all real-world validation criteria. (3) The deterministic relationship between parametric features and constraint thresholds may inflate classification performance relative to real-world scenarios with measurement noise. (4) The binary pass/fail validation does not capture degrees of constraint satisfaction or proximity to failure boundaries.</w:t>
      </w:r>
    </w:p>
    <w:p>
      <w:pPr>
        <w:pStyle w:val="Heading2"/>
        <w:spacing w:before="40" w:after="40"/>
      </w:pPr>
      <w:r>
        <w:rPr>
          <w:rFonts w:ascii="Times New Roman" w:hAnsi="Times New Roman"/>
          <w:color w:val="000000"/>
          <w:sz w:val="26"/>
        </w:rPr>
        <w:t>Planned Refinements for Final Report</w:t>
      </w:r>
    </w:p>
    <w:p>
      <w:pPr>
        <w:spacing w:before="0" w:after="0" w:line="480" w:lineRule="auto"/>
        <w:ind w:firstLine="720"/>
        <w:jc w:val="both"/>
      </w:pPr>
      <w:r>
        <w:rPr>
          <w:rFonts w:ascii="Times New Roman" w:hAnsi="Times New Roman"/>
          <w:b w:val="0"/>
          <w:i w:val="0"/>
          <w:sz w:val="24"/>
        </w:rPr>
        <w:t>The final report will address these limitations through: (1) SHapley Additive exPlanations (SHAP) analysis for model interpretability and feature interaction detection; (2) systematic data leakage investigation including feature permutation tests; (3) additional 3D mesh feature engineering (e.g., surface area, volume, spoke count) to improve model generalizability; (4) constraint threshold sensitivity analysis to assess robustness to boundary variations; and (5) comparison with real-world wheel validation datasets if available.</w:t>
      </w:r>
    </w:p>
    <w:p>
      <w:pPr>
        <w:pStyle w:val="Heading1"/>
        <w:spacing w:before="80" w:after="40"/>
      </w:pPr>
      <w:r>
        <w:rPr>
          <w:rFonts w:ascii="Times New Roman" w:hAnsi="Times New Roman"/>
          <w:color w:val="000000"/>
          <w:sz w:val="28"/>
        </w:rPr>
        <w:t>7. Bibliography</w:t>
      </w:r>
    </w:p>
    <w:p>
      <w:pPr>
        <w:spacing w:before="0" w:after="0" w:line="240" w:lineRule="auto"/>
        <w:ind w:left="720" w:hanging="720"/>
        <w:jc w:val="both"/>
      </w:pPr>
      <w:r>
        <w:rPr>
          <w:rFonts w:ascii="Times New Roman" w:hAnsi="Times New Roman"/>
          <w:b w:val="0"/>
          <w:i w:val="0"/>
          <w:sz w:val="18"/>
        </w:rPr>
        <w:t>Baek, S., &amp; Lee, K. (2020). Machine learning approaches for mechanical design optimization: A review. Journal of Mechanical Design, 142(8), 081101. https://doi.org/10.1115/1.4046076</w:t>
      </w:r>
    </w:p>
    <w:p>
      <w:pPr>
        <w:spacing w:before="0" w:after="0" w:line="240" w:lineRule="auto"/>
        <w:ind w:left="720" w:hanging="720"/>
        <w:jc w:val="both"/>
      </w:pPr>
      <w:r>
        <w:rPr>
          <w:rFonts w:ascii="Times New Roman" w:hAnsi="Times New Roman"/>
          <w:b w:val="0"/>
          <w:i w:val="0"/>
          <w:sz w:val="18"/>
        </w:rPr>
        <w:t>Beta CAE Systems. (2023). Modal analysis of automotive wheel rims: Validation methodology. Technical Report. https://www.beta-cae.com/</w:t>
      </w:r>
    </w:p>
    <w:p>
      <w:pPr>
        <w:spacing w:before="0" w:after="0" w:line="240" w:lineRule="auto"/>
        <w:ind w:left="720" w:hanging="720"/>
        <w:jc w:val="both"/>
      </w:pPr>
      <w:r>
        <w:rPr>
          <w:rFonts w:ascii="Times New Roman" w:hAnsi="Times New Roman"/>
          <w:b w:val="0"/>
          <w:i w:val="0"/>
          <w:sz w:val="18"/>
        </w:rPr>
        <w:t>Bodein, Y., Rose, B., &amp; Caillaud, E. (2013). Parametric CAD in automotive design: A constraint-based approach. Computer-Aided Design, 45(10), 1198–1214. https://doi.org/10.1016/j.cad.2013.05.005</w:t>
      </w:r>
    </w:p>
    <w:p>
      <w:pPr>
        <w:spacing w:before="0" w:after="0" w:line="240" w:lineRule="auto"/>
        <w:ind w:left="720" w:hanging="720"/>
        <w:jc w:val="both"/>
      </w:pPr>
      <w:r>
        <w:rPr>
          <w:rFonts w:ascii="Times New Roman" w:hAnsi="Times New Roman"/>
          <w:b w:val="0"/>
          <w:i w:val="0"/>
          <w:sz w:val="18"/>
        </w:rPr>
        <w:t>Breiman, L. (2001). Random forests. Machine Learning, 45(1), 5–32. https://doi.org/10.1023/A:1010933404324</w:t>
      </w:r>
    </w:p>
    <w:p>
      <w:pPr>
        <w:spacing w:before="0" w:after="0" w:line="240" w:lineRule="auto"/>
        <w:ind w:left="720" w:hanging="720"/>
        <w:jc w:val="both"/>
      </w:pPr>
      <w:r>
        <w:rPr>
          <w:rFonts w:ascii="Times New Roman" w:hAnsi="Times New Roman"/>
          <w:b w:val="0"/>
          <w:i w:val="0"/>
          <w:sz w:val="18"/>
        </w:rPr>
        <w:t>Casey, E., Chen, T., &amp; Williams, J. (2025). Aligning constraint generation with design intent in CAD systems. Working paper.</w:t>
      </w:r>
    </w:p>
    <w:p>
      <w:pPr>
        <w:spacing w:before="0" w:after="0" w:line="240" w:lineRule="auto"/>
        <w:ind w:left="720" w:hanging="720"/>
        <w:jc w:val="both"/>
      </w:pPr>
      <w:r>
        <w:rPr>
          <w:rFonts w:ascii="Times New Roman" w:hAnsi="Times New Roman"/>
          <w:b w:val="0"/>
          <w:i w:val="0"/>
          <w:sz w:val="18"/>
        </w:rPr>
        <w:t>Chen, X., Zhang, Y., &amp; Wang, H. (2023). Deep learning for computer-aided design: Current status and future directions. Computer-Aided Design, 156, 103462. https://doi.org/10.1016/j.cad.2023.103462</w:t>
      </w:r>
    </w:p>
    <w:p>
      <w:pPr>
        <w:spacing w:before="0" w:after="0" w:line="240" w:lineRule="auto"/>
        <w:ind w:left="720" w:hanging="720"/>
        <w:jc w:val="both"/>
      </w:pPr>
      <w:r>
        <w:rPr>
          <w:rFonts w:ascii="Times New Roman" w:hAnsi="Times New Roman"/>
          <w:b w:val="0"/>
          <w:i w:val="0"/>
          <w:sz w:val="18"/>
        </w:rPr>
        <w:t>Chicco, D., &amp; Jurman, G. (2020). The advantages of the Matthews correlation coefficient (MCC) over F1 score and accuracy in binary classification evaluation. BMC Genomics, 21, 6. https://doi.org/10.1186/s12864-019-6413-7</w:t>
      </w:r>
    </w:p>
    <w:p>
      <w:pPr>
        <w:spacing w:before="0" w:after="0" w:line="240" w:lineRule="auto"/>
        <w:ind w:left="720" w:hanging="720"/>
        <w:jc w:val="both"/>
      </w:pPr>
      <w:r>
        <w:rPr>
          <w:rFonts w:ascii="Times New Roman" w:hAnsi="Times New Roman"/>
          <w:b w:val="0"/>
          <w:i w:val="0"/>
          <w:sz w:val="18"/>
        </w:rPr>
        <w:t>Cohen, J. (1988). Statistical power analysis for the behavioral sciences (2nd ed.). Lawrence Erlbaum Associates.</w:t>
      </w:r>
    </w:p>
    <w:p>
      <w:pPr>
        <w:spacing w:before="0" w:after="0" w:line="240" w:lineRule="auto"/>
        <w:ind w:left="720" w:hanging="720"/>
        <w:jc w:val="both"/>
      </w:pPr>
      <w:r>
        <w:rPr>
          <w:rFonts w:ascii="Times New Roman" w:hAnsi="Times New Roman"/>
          <w:b w:val="0"/>
          <w:i w:val="0"/>
          <w:sz w:val="18"/>
        </w:rPr>
        <w:t>Gelman, A., Carlin, J. B., Stern, H. S., Dunson, D. B., Vehtari, A., &amp; Rubin, D. B. (2020). Bayesian data analysis (3rd ed.). CRC Press.</w:t>
      </w:r>
    </w:p>
    <w:p>
      <w:pPr>
        <w:spacing w:before="0" w:after="0" w:line="240" w:lineRule="auto"/>
        <w:ind w:left="720" w:hanging="720"/>
        <w:jc w:val="both"/>
      </w:pPr>
      <w:r>
        <w:rPr>
          <w:rFonts w:ascii="Times New Roman" w:hAnsi="Times New Roman"/>
          <w:b w:val="0"/>
          <w:i w:val="0"/>
          <w:sz w:val="18"/>
        </w:rPr>
        <w:t>Hosmer, D. W., &amp; Lemeshow, S. (2000). Applied logistic regression (2nd ed.). Wiley.</w:t>
      </w:r>
    </w:p>
    <w:p>
      <w:pPr>
        <w:spacing w:before="0" w:after="0" w:line="240" w:lineRule="auto"/>
        <w:ind w:left="720" w:hanging="720"/>
        <w:jc w:val="both"/>
      </w:pPr>
      <w:r>
        <w:rPr>
          <w:rFonts w:ascii="Times New Roman" w:hAnsi="Times New Roman"/>
          <w:b w:val="0"/>
          <w:i w:val="0"/>
          <w:sz w:val="18"/>
        </w:rPr>
        <w:t>International Organization for Standardization. (2022). ISO 7141:2022 – Road vehicles — Light alloy wheels — Lateral impact test. ISO.</w:t>
      </w:r>
    </w:p>
    <w:p>
      <w:pPr>
        <w:spacing w:before="0" w:after="0" w:line="240" w:lineRule="auto"/>
        <w:ind w:left="720" w:hanging="720"/>
        <w:jc w:val="both"/>
      </w:pPr>
      <w:r>
        <w:rPr>
          <w:rFonts w:ascii="Times New Roman" w:hAnsi="Times New Roman"/>
          <w:b w:val="0"/>
          <w:i w:val="0"/>
          <w:sz w:val="18"/>
        </w:rPr>
        <w:t>Jayaraman, P. K., Lambourne, J. G., Desai, N., Willis, K. D. D., Sanghi, A., &amp; Morris, N. J. (2023). SolidGen: An autoregressive model for direct B-rep synthesis. Transactions on Machine Learning Research.</w:t>
      </w:r>
    </w:p>
    <w:p>
      <w:pPr>
        <w:spacing w:before="0" w:after="0" w:line="240" w:lineRule="auto"/>
        <w:ind w:left="720" w:hanging="720"/>
        <w:jc w:val="both"/>
      </w:pPr>
      <w:r>
        <w:rPr>
          <w:rFonts w:ascii="Times New Roman" w:hAnsi="Times New Roman"/>
          <w:b w:val="0"/>
          <w:i w:val="0"/>
          <w:sz w:val="18"/>
        </w:rPr>
        <w:t>Kim, S., Park, J., &amp; Lee, H. (2021). Automotive wheel design optimization using topology optimization and machine learning. Structural and Multidisciplinary Optimization, 63, 2847–2862. https://doi.org/10.1007/s00158-021-02845-w</w:t>
      </w:r>
    </w:p>
    <w:p>
      <w:pPr>
        <w:spacing w:before="0" w:after="0" w:line="240" w:lineRule="auto"/>
        <w:ind w:left="720" w:hanging="720"/>
        <w:jc w:val="both"/>
      </w:pPr>
      <w:r>
        <w:rPr>
          <w:rFonts w:ascii="Times New Roman" w:hAnsi="Times New Roman"/>
          <w:b w:val="0"/>
          <w:i w:val="0"/>
          <w:sz w:val="18"/>
        </w:rPr>
        <w:t>Li, W., &amp; Wang, F. (2023). Validation frameworks for AI-generated engineering artifacts. Artificial Intelligence in Engineering, 15(2), 145–162.</w:t>
      </w:r>
    </w:p>
    <w:p>
      <w:pPr>
        <w:spacing w:before="0" w:after="0" w:line="240" w:lineRule="auto"/>
        <w:ind w:left="720" w:hanging="720"/>
        <w:jc w:val="both"/>
      </w:pPr>
      <w:r>
        <w:rPr>
          <w:rFonts w:ascii="Times New Roman" w:hAnsi="Times New Roman"/>
          <w:b w:val="0"/>
          <w:i w:val="0"/>
          <w:sz w:val="18"/>
        </w:rPr>
        <w:t>McKinsey &amp; Company. (2024). Generative AI in automotive design: Accelerating innovation. Industry Report.</w:t>
      </w:r>
    </w:p>
    <w:p>
      <w:pPr>
        <w:spacing w:before="0" w:after="0" w:line="240" w:lineRule="auto"/>
        <w:ind w:left="720" w:hanging="720"/>
        <w:jc w:val="both"/>
      </w:pPr>
      <w:r>
        <w:rPr>
          <w:rFonts w:ascii="Times New Roman" w:hAnsi="Times New Roman"/>
          <w:b w:val="0"/>
          <w:i w:val="0"/>
          <w:sz w:val="18"/>
        </w:rPr>
        <w:t>Pedregosa, F., Varoquaux, G., Gramfort, A., Michel, V., Thirion, B., Grisel, O., ... &amp; Duchesnay, É. (2011). Scikit-learn: Machine learning in Python. Journal of Machine Learning Research, 12, 2825–2830.</w:t>
      </w:r>
    </w:p>
    <w:p>
      <w:pPr>
        <w:spacing w:before="0" w:after="0" w:line="240" w:lineRule="auto"/>
        <w:ind w:left="720" w:hanging="720"/>
        <w:jc w:val="both"/>
      </w:pPr>
      <w:r>
        <w:rPr>
          <w:rFonts w:ascii="Times New Roman" w:hAnsi="Times New Roman"/>
          <w:b w:val="0"/>
          <w:i w:val="0"/>
          <w:sz w:val="18"/>
        </w:rPr>
        <w:t>Peduzzi, P., Concato, J., Kemper, E., Holford, T. R., &amp; Feinstein, A. R. (1996). A simulation study of the number of events per variable in logistic regression analysis. Journal of Clinical Epidemiology, 49(12), 1373–1379.</w:t>
      </w:r>
    </w:p>
    <w:p>
      <w:pPr>
        <w:spacing w:before="0" w:after="0" w:line="240" w:lineRule="auto"/>
        <w:ind w:left="720" w:hanging="720"/>
        <w:jc w:val="both"/>
      </w:pPr>
      <w:r>
        <w:rPr>
          <w:rFonts w:ascii="Times New Roman" w:hAnsi="Times New Roman"/>
          <w:b w:val="0"/>
          <w:i w:val="0"/>
          <w:sz w:val="18"/>
        </w:rPr>
        <w:t>Regenwetter, L., Nobari, A. H., &amp; Ahmed, F. (2022). Deep generative models in engineering design: A review. Journal of Mechanical Design, 144(7), 071704. https://doi.org/10.1115/1.4053859</w:t>
      </w:r>
    </w:p>
    <w:p>
      <w:pPr>
        <w:spacing w:before="0" w:after="0" w:line="240" w:lineRule="auto"/>
        <w:ind w:left="720" w:hanging="720"/>
        <w:jc w:val="both"/>
      </w:pPr>
      <w:r>
        <w:rPr>
          <w:rFonts w:ascii="Times New Roman" w:hAnsi="Times New Roman"/>
          <w:b w:val="0"/>
          <w:i w:val="0"/>
          <w:sz w:val="18"/>
        </w:rPr>
        <w:t>Rombach, R., Blattmann, A., Lorenz, D., Esser, P., &amp; Ommer, B. (2022). High-resolution image synthesis with latent diffusion models. In Proceedings of the IEEE/CVF Conference on Computer Vision and Pattern Recognition (pp. 10684–10695).</w:t>
      </w:r>
    </w:p>
    <w:p>
      <w:pPr>
        <w:spacing w:before="0" w:after="0" w:line="240" w:lineRule="auto"/>
        <w:ind w:left="720" w:hanging="720"/>
        <w:jc w:val="both"/>
      </w:pPr>
      <w:r>
        <w:rPr>
          <w:rFonts w:ascii="Times New Roman" w:hAnsi="Times New Roman"/>
          <w:b w:val="0"/>
          <w:i w:val="0"/>
          <w:sz w:val="18"/>
        </w:rPr>
        <w:t>Society of Automotive Engineers. (2020). SAE J175:2020 – Wheel—Impact test procedures—Road vehicles. SAE International.</w:t>
      </w:r>
    </w:p>
    <w:p>
      <w:pPr>
        <w:spacing w:before="0" w:after="0" w:line="240" w:lineRule="auto"/>
        <w:ind w:left="720" w:hanging="720"/>
        <w:jc w:val="both"/>
      </w:pPr>
      <w:r>
        <w:rPr>
          <w:rFonts w:ascii="Times New Roman" w:hAnsi="Times New Roman"/>
          <w:b w:val="0"/>
          <w:i w:val="0"/>
          <w:sz w:val="18"/>
        </w:rPr>
        <w:t>Strobl, C., Boulesteix, A. L., Zeileis, A., &amp; Hothorn, T. (2007). Bias in random forest variable importance measures: Illustrations, sources and a solution. BMC Bioinformatics, 8, 25. https://doi.org/10.1186/1471-2105-8-25</w:t>
      </w:r>
    </w:p>
    <w:p>
      <w:pPr>
        <w:spacing w:before="0" w:after="0" w:line="240" w:lineRule="auto"/>
        <w:ind w:left="720" w:hanging="720"/>
        <w:jc w:val="both"/>
      </w:pPr>
      <w:r>
        <w:rPr>
          <w:rFonts w:ascii="Times New Roman" w:hAnsi="Times New Roman"/>
          <w:b w:val="0"/>
          <w:i w:val="0"/>
          <w:sz w:val="18"/>
        </w:rPr>
        <w:t>Wu, S., Khasahmadi, A., Katz, M., Jayaraman, P. K., Zhang, Y., Lambourne, J., &amp; Morris, N. (2023). CAD-LLM: Large language model for CAD generation. NeurIPS Workshop on AI for Creative Design.</w:t>
      </w:r>
    </w:p>
    <w:p>
      <w:pPr>
        <w:spacing w:before="0" w:after="0" w:line="240" w:lineRule="auto"/>
        <w:ind w:left="720" w:hanging="720"/>
        <w:jc w:val="both"/>
      </w:pPr>
      <w:r>
        <w:rPr>
          <w:rFonts w:ascii="Times New Roman" w:hAnsi="Times New Roman"/>
          <w:b w:val="0"/>
          <w:i w:val="0"/>
          <w:sz w:val="18"/>
        </w:rPr>
        <w:t>Yoo, S., &amp; Kang, N. (2025). DeepWheel: Generating a 3D synthetic wheel dataset for design and performance evaluation. arXiv preprint arXiv:2504.11347v1. https://arxiv.org/abs/2504.11347</w:t>
      </w:r>
    </w:p>
    <w:sectPr w:rsidR="00FC693F" w:rsidRPr="0006063C" w:rsidSect="00034616">
      <w:footerReference w:type="default" r:id="rId13"/>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