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253F6" w14:textId="77777777" w:rsidR="003F3D5E" w:rsidRDefault="005D26F5">
      <w:pPr>
        <w:pStyle w:val="ArticleTitle"/>
        <w:spacing w:after="120"/>
        <w:jc w:val="center"/>
      </w:pPr>
      <w:r>
        <w:t>How food research became a claim about cheese addiction</w:t>
      </w:r>
    </w:p>
    <w:p w14:paraId="598BE5FF" w14:textId="77777777" w:rsidR="003F3D5E" w:rsidRDefault="005D26F5">
      <w:pPr>
        <w:pStyle w:val="ArticleSubtitle"/>
        <w:spacing w:after="200"/>
        <w:jc w:val="center"/>
      </w:pPr>
      <w:r>
        <w:t>Case study of scientific misrepresentation in a 2015 news report</w:t>
      </w:r>
    </w:p>
    <w:p w14:paraId="67035B79" w14:textId="77777777" w:rsidR="003F3D5E" w:rsidRDefault="005D26F5">
      <w:pPr>
        <w:pStyle w:val="ArticleGroup"/>
        <w:spacing w:after="60"/>
        <w:jc w:val="center"/>
      </w:pPr>
      <w:r>
        <w:t>Group: CSE-2602M</w:t>
      </w:r>
    </w:p>
    <w:p w14:paraId="06D92A1F" w14:textId="77777777" w:rsidR="003F3D5E" w:rsidRDefault="005D26F5">
      <w:pPr>
        <w:pStyle w:val="ArticleAuthors"/>
        <w:pBdr>
          <w:bottom w:val="single" w:sz="8" w:space="12" w:color="587F90"/>
        </w:pBdr>
        <w:spacing w:after="240"/>
        <w:jc w:val="center"/>
      </w:pPr>
      <w:r>
        <w:t>Yernar Zhaksybayev</w:t>
      </w:r>
      <w:r>
        <w:br/>
        <w:t>Abylay Yerniyazov</w:t>
      </w:r>
      <w:r>
        <w:br/>
        <w:t>Temirlan Turgimbayev</w:t>
      </w:r>
      <w:r>
        <w:br/>
        <w:t>Abdimanap Dias</w:t>
      </w:r>
    </w:p>
    <w:p w14:paraId="54318FB9" w14:textId="77777777" w:rsidR="003F3D5E" w:rsidRDefault="003F3D5E">
      <w:pPr>
        <w:sectPr w:rsidR="003F3D5E">
          <w:footerReference w:type="default" r:id="rId8"/>
          <w:pgSz w:w="11906" w:h="16838"/>
          <w:pgMar w:top="947" w:right="1020" w:bottom="935" w:left="1020" w:header="454" w:footer="454" w:gutter="0"/>
          <w:cols w:space="720"/>
          <w:docGrid w:linePitch="360"/>
        </w:sectPr>
      </w:pPr>
    </w:p>
    <w:p w14:paraId="0C638959" w14:textId="77777777" w:rsidR="003F3D5E" w:rsidRDefault="005D26F5">
      <w:pPr>
        <w:pStyle w:val="ArticleHeading"/>
      </w:pPr>
      <w:r>
        <w:t>Case overview</w:t>
      </w:r>
    </w:p>
    <w:p w14:paraId="6198C657" w14:textId="77777777" w:rsidR="003F3D5E" w:rsidRDefault="005D26F5">
      <w:pPr>
        <w:pStyle w:val="ArticleBody"/>
        <w:jc w:val="both"/>
      </w:pPr>
      <w:r>
        <w:t>In October 2015, a news report presented an appealing explanation for finding cheese difficult to resist: science had confirmed that it was addictive. The article, written by Jenn Harris of the Los Angeles Times and republ</w:t>
      </w:r>
      <w:r>
        <w:t>ished by Medical Xpress on October 27, carried the headline “Study reveals cheese is as addictive as drugs” (Harris, 2015, headline). Its scientific source was a real peer-reviewed paper by Schulte et al. (2015). However, that paper did not establish the d</w:t>
      </w:r>
      <w:r>
        <w:t>rug-equivalence claim. It examined which foods people associated with difficulties controlling their eating.</w:t>
      </w:r>
    </w:p>
    <w:p w14:paraId="3CFDDB7C" w14:textId="77777777" w:rsidR="003F3D5E" w:rsidRDefault="005D26F5">
      <w:pPr>
        <w:pStyle w:val="ArticleBody"/>
        <w:jc w:val="both"/>
      </w:pPr>
      <w:r>
        <w:t>This case concerns how a legitimate research question became an unsupported conclusion in news coverage. The selected media text is the Medical Xpr</w:t>
      </w:r>
      <w:r>
        <w:t>ess republication, whose wording and date are used throughout this analysis. The central argument is that the report combined selective results with an untested explanation involving cheese, while removing the uncertainty attached to the original findings.</w:t>
      </w:r>
      <w:r>
        <w:t xml:space="preserve"> The problem therefore extends beyond an exaggerated headline. Readers were given a causal explanation that the cited study could not verify.</w:t>
      </w:r>
    </w:p>
    <w:p w14:paraId="71DA02C1" w14:textId="77777777" w:rsidR="003F3D5E" w:rsidRDefault="005D26F5">
      <w:pPr>
        <w:pStyle w:val="ArticleHeading"/>
      </w:pPr>
      <w:r>
        <w:t>What the research established</w:t>
      </w:r>
    </w:p>
    <w:p w14:paraId="53A896BB" w14:textId="77777777" w:rsidR="003F3D5E" w:rsidRDefault="005D26F5">
      <w:pPr>
        <w:pStyle w:val="ArticleBody"/>
        <w:jc w:val="both"/>
      </w:pPr>
      <w:r>
        <w:t xml:space="preserve">Schulte et al. (2015) investigated whether food processing and </w:t>
      </w:r>
      <w:r>
        <w:t>nutritional characteristics were associated with addictive-like eating. Their paper, published in PLOS ONE on February 18, contained two cross-sectional studies. This design captures reported experiences at one point in time; it does not establish that eat</w:t>
      </w:r>
      <w:r>
        <w:t>ing a particular food subsequently causes addiction.</w:t>
      </w:r>
    </w:p>
    <w:p w14:paraId="05AB5E14" w14:textId="77777777" w:rsidR="003F3D5E" w:rsidRDefault="005D26F5">
      <w:pPr>
        <w:pStyle w:val="ArticleBody"/>
        <w:jc w:val="both"/>
      </w:pPr>
      <w:r>
        <w:t xml:space="preserve">Study 1 involved 120 undergraduates. After completing a modified Yale Food Addiction Scale, participants chose between pairs drawn from 35 foods, indicating which food they found more problematic. Study </w:t>
      </w:r>
      <w:r>
        <w:t>2 analysed responses from 384 adults recruited through Amazon Mechanical Turk, after excluding 14 of the original 398 respondents. These participants rated the same foods on a scale from 1 to 7. The researchers used statistical models to examine relationsh</w:t>
      </w:r>
      <w:r>
        <w:t>ips between food characteristics and the ratings (Schulte et al., 2015).</w:t>
      </w:r>
    </w:p>
    <w:p w14:paraId="1A44C616" w14:textId="77777777" w:rsidR="003F3D5E" w:rsidRDefault="005D26F5">
      <w:pPr>
        <w:pStyle w:val="ArticleBody"/>
        <w:jc w:val="both"/>
      </w:pPr>
      <w:r>
        <w:t>The Yale Food Addiction Scale matters because the meaning of the measurement limits the meaning of the result. Gearhardt et al. (2009) developed it to identify eating patterns resembl</w:t>
      </w:r>
      <w:r>
        <w:t xml:space="preserve">ing behaviours associated with substance dependence, including difficulty controlling consumption. Their initial validation supported its usefulness but called for further evaluation. A questionnaire drawing on addiction criteria does not, by itself, show </w:t>
      </w:r>
      <w:r>
        <w:t>that a food has the same addictive potency as a drug. Behavioural similarity and equivalence are different claims.</w:t>
      </w:r>
    </w:p>
    <w:p w14:paraId="5B7002E5" w14:textId="28376779" w:rsidR="003F3D5E" w:rsidRDefault="005D26F5">
      <w:pPr>
        <w:pStyle w:val="ArticleCaption"/>
        <w:keepNext/>
        <w:spacing w:before="200" w:after="80"/>
      </w:pPr>
      <w:r>
        <w:rPr>
          <w:b/>
        </w:rPr>
        <w:t xml:space="preserve">Figure 1. Yale Food Addiction Scale symptoms and screening results in Studies 1 and 2 </w:t>
      </w:r>
    </w:p>
    <w:tbl>
      <w:tblPr>
        <w:tblW w:w="0" w:type="auto"/>
        <w:jc w:val="center"/>
        <w:tblLayout w:type="fixed"/>
        <w:tblLook w:val="04A0" w:firstRow="1" w:lastRow="0" w:firstColumn="1" w:lastColumn="0" w:noHBand="0" w:noVBand="1"/>
      </w:tblPr>
      <w:tblGrid>
        <w:gridCol w:w="2948"/>
        <w:gridCol w:w="737"/>
        <w:gridCol w:w="737"/>
      </w:tblGrid>
      <w:tr w:rsidR="003F3D5E" w14:paraId="61F3F125" w14:textId="77777777">
        <w:trPr>
          <w:tblHeader/>
          <w:jc w:val="center"/>
        </w:trPr>
        <w:tc>
          <w:tcPr>
            <w:tcW w:w="2948" w:type="dxa"/>
            <w:tcBorders>
              <w:bottom w:val="single" w:sz="4" w:space="0" w:color="CFD7D8"/>
            </w:tcBorders>
            <w:shd w:val="clear" w:color="auto" w:fill="DBE7EB"/>
            <w:vAlign w:val="center"/>
          </w:tcPr>
          <w:p w14:paraId="732C0147" w14:textId="77777777" w:rsidR="003F3D5E" w:rsidRDefault="005D26F5">
            <w:pPr>
              <w:pStyle w:val="SourceTableHeader"/>
              <w:keepLines/>
            </w:pPr>
            <w:r>
              <w:t>YFAS symptom</w:t>
            </w:r>
          </w:p>
        </w:tc>
        <w:tc>
          <w:tcPr>
            <w:tcW w:w="737" w:type="dxa"/>
            <w:tcBorders>
              <w:bottom w:val="single" w:sz="4" w:space="0" w:color="CFD7D8"/>
            </w:tcBorders>
            <w:shd w:val="clear" w:color="auto" w:fill="DBE7EB"/>
            <w:vAlign w:val="center"/>
          </w:tcPr>
          <w:p w14:paraId="7A39E4D2" w14:textId="77777777" w:rsidR="003F3D5E" w:rsidRDefault="005D26F5">
            <w:pPr>
              <w:pStyle w:val="SourceTableHeader"/>
              <w:keepLines/>
            </w:pPr>
            <w:r>
              <w:t>Study 1</w:t>
            </w:r>
          </w:p>
        </w:tc>
        <w:tc>
          <w:tcPr>
            <w:tcW w:w="737" w:type="dxa"/>
            <w:tcBorders>
              <w:bottom w:val="single" w:sz="4" w:space="0" w:color="CFD7D8"/>
            </w:tcBorders>
            <w:shd w:val="clear" w:color="auto" w:fill="DBE7EB"/>
            <w:vAlign w:val="center"/>
          </w:tcPr>
          <w:p w14:paraId="1A0C3903" w14:textId="77777777" w:rsidR="003F3D5E" w:rsidRDefault="005D26F5">
            <w:pPr>
              <w:pStyle w:val="SourceTableHeader"/>
              <w:keepLines/>
            </w:pPr>
            <w:r>
              <w:t>Study 2</w:t>
            </w:r>
          </w:p>
        </w:tc>
      </w:tr>
      <w:tr w:rsidR="003F3D5E" w14:paraId="7D543158" w14:textId="77777777">
        <w:trPr>
          <w:cantSplit/>
          <w:jc w:val="center"/>
        </w:trPr>
        <w:tc>
          <w:tcPr>
            <w:tcW w:w="2948" w:type="dxa"/>
            <w:tcBorders>
              <w:bottom w:val="single" w:sz="4" w:space="0" w:color="CFD7D8"/>
            </w:tcBorders>
            <w:shd w:val="clear" w:color="auto" w:fill="F1F5F6"/>
            <w:vAlign w:val="center"/>
          </w:tcPr>
          <w:p w14:paraId="6676F61A" w14:textId="77777777" w:rsidR="003F3D5E" w:rsidRDefault="005D26F5">
            <w:pPr>
              <w:pStyle w:val="SourceTableBody"/>
              <w:keepNext/>
              <w:keepLines/>
            </w:pPr>
            <w:r>
              <w:t>S</w:t>
            </w:r>
            <w:r>
              <w:t>ubstance taken in larger amount and for longer period than intended</w:t>
            </w:r>
          </w:p>
        </w:tc>
        <w:tc>
          <w:tcPr>
            <w:tcW w:w="737" w:type="dxa"/>
            <w:tcBorders>
              <w:bottom w:val="single" w:sz="4" w:space="0" w:color="CFD7D8"/>
            </w:tcBorders>
            <w:shd w:val="clear" w:color="auto" w:fill="F1F5F6"/>
            <w:vAlign w:val="center"/>
          </w:tcPr>
          <w:p w14:paraId="7CCC1F3B" w14:textId="77777777" w:rsidR="003F3D5E" w:rsidRDefault="005D26F5">
            <w:pPr>
              <w:pStyle w:val="SourceTableBody"/>
              <w:keepNext/>
              <w:keepLines/>
            </w:pPr>
            <w:r>
              <w:t>11.7%</w:t>
            </w:r>
          </w:p>
        </w:tc>
        <w:tc>
          <w:tcPr>
            <w:tcW w:w="737" w:type="dxa"/>
            <w:tcBorders>
              <w:bottom w:val="single" w:sz="4" w:space="0" w:color="CFD7D8"/>
            </w:tcBorders>
            <w:shd w:val="clear" w:color="auto" w:fill="F1F5F6"/>
            <w:vAlign w:val="center"/>
          </w:tcPr>
          <w:p w14:paraId="3DD707D4" w14:textId="77777777" w:rsidR="003F3D5E" w:rsidRDefault="005D26F5">
            <w:pPr>
              <w:pStyle w:val="SourceTableBody"/>
              <w:keepNext/>
              <w:keepLines/>
            </w:pPr>
            <w:r>
              <w:t>15.1%</w:t>
            </w:r>
          </w:p>
        </w:tc>
      </w:tr>
      <w:tr w:rsidR="003F3D5E" w14:paraId="73228C52" w14:textId="77777777">
        <w:trPr>
          <w:cantSplit/>
          <w:jc w:val="center"/>
        </w:trPr>
        <w:tc>
          <w:tcPr>
            <w:tcW w:w="2948" w:type="dxa"/>
            <w:tcBorders>
              <w:bottom w:val="single" w:sz="4" w:space="0" w:color="CFD7D8"/>
            </w:tcBorders>
            <w:vAlign w:val="center"/>
          </w:tcPr>
          <w:p w14:paraId="21F5FB4D" w14:textId="77777777" w:rsidR="003F3D5E" w:rsidRDefault="005D26F5">
            <w:pPr>
              <w:pStyle w:val="SourceTableBody"/>
              <w:keepNext/>
              <w:keepLines/>
            </w:pPr>
            <w:r>
              <w:t>Persistent desire or repeated unsuccessful attempt to quit</w:t>
            </w:r>
          </w:p>
        </w:tc>
        <w:tc>
          <w:tcPr>
            <w:tcW w:w="737" w:type="dxa"/>
            <w:tcBorders>
              <w:bottom w:val="single" w:sz="4" w:space="0" w:color="CFD7D8"/>
            </w:tcBorders>
            <w:vAlign w:val="center"/>
          </w:tcPr>
          <w:p w14:paraId="74B67609" w14:textId="77777777" w:rsidR="003F3D5E" w:rsidRDefault="005D26F5">
            <w:pPr>
              <w:pStyle w:val="SourceTableBody"/>
              <w:keepNext/>
              <w:keepLines/>
            </w:pPr>
            <w:r>
              <w:t>91.7%</w:t>
            </w:r>
          </w:p>
        </w:tc>
        <w:tc>
          <w:tcPr>
            <w:tcW w:w="737" w:type="dxa"/>
            <w:tcBorders>
              <w:bottom w:val="single" w:sz="4" w:space="0" w:color="CFD7D8"/>
            </w:tcBorders>
            <w:vAlign w:val="center"/>
          </w:tcPr>
          <w:p w14:paraId="16DB38E6" w14:textId="77777777" w:rsidR="003F3D5E" w:rsidRDefault="005D26F5">
            <w:pPr>
              <w:pStyle w:val="SourceTableBody"/>
              <w:keepNext/>
              <w:keepLines/>
            </w:pPr>
            <w:r>
              <w:t>91.7%</w:t>
            </w:r>
          </w:p>
        </w:tc>
      </w:tr>
      <w:tr w:rsidR="003F3D5E" w14:paraId="39AEA5C4" w14:textId="77777777">
        <w:trPr>
          <w:cantSplit/>
          <w:jc w:val="center"/>
        </w:trPr>
        <w:tc>
          <w:tcPr>
            <w:tcW w:w="2948" w:type="dxa"/>
            <w:tcBorders>
              <w:bottom w:val="single" w:sz="4" w:space="0" w:color="CFD7D8"/>
            </w:tcBorders>
            <w:shd w:val="clear" w:color="auto" w:fill="F1F5F6"/>
            <w:vAlign w:val="center"/>
          </w:tcPr>
          <w:p w14:paraId="0F6E0B8C" w14:textId="77777777" w:rsidR="003F3D5E" w:rsidRDefault="005D26F5">
            <w:pPr>
              <w:pStyle w:val="SourceTableBody"/>
              <w:keepNext/>
              <w:keepLines/>
            </w:pPr>
            <w:r>
              <w:t>Much time/activity to obtain, use, recover</w:t>
            </w:r>
          </w:p>
        </w:tc>
        <w:tc>
          <w:tcPr>
            <w:tcW w:w="737" w:type="dxa"/>
            <w:tcBorders>
              <w:bottom w:val="single" w:sz="4" w:space="0" w:color="CFD7D8"/>
            </w:tcBorders>
            <w:shd w:val="clear" w:color="auto" w:fill="F1F5F6"/>
            <w:vAlign w:val="center"/>
          </w:tcPr>
          <w:p w14:paraId="0BBDA0C0" w14:textId="77777777" w:rsidR="003F3D5E" w:rsidRDefault="005D26F5">
            <w:pPr>
              <w:pStyle w:val="SourceTableBody"/>
              <w:keepNext/>
              <w:keepLines/>
            </w:pPr>
            <w:r>
              <w:t>23.3%</w:t>
            </w:r>
          </w:p>
        </w:tc>
        <w:tc>
          <w:tcPr>
            <w:tcW w:w="737" w:type="dxa"/>
            <w:tcBorders>
              <w:bottom w:val="single" w:sz="4" w:space="0" w:color="CFD7D8"/>
            </w:tcBorders>
            <w:shd w:val="clear" w:color="auto" w:fill="F1F5F6"/>
            <w:vAlign w:val="center"/>
          </w:tcPr>
          <w:p w14:paraId="04CCA3A5" w14:textId="77777777" w:rsidR="003F3D5E" w:rsidRDefault="005D26F5">
            <w:pPr>
              <w:pStyle w:val="SourceTableBody"/>
              <w:keepNext/>
              <w:keepLines/>
            </w:pPr>
            <w:r>
              <w:t>25.8%</w:t>
            </w:r>
          </w:p>
        </w:tc>
      </w:tr>
      <w:tr w:rsidR="003F3D5E" w14:paraId="3E419B91" w14:textId="77777777">
        <w:trPr>
          <w:cantSplit/>
          <w:jc w:val="center"/>
        </w:trPr>
        <w:tc>
          <w:tcPr>
            <w:tcW w:w="2948" w:type="dxa"/>
            <w:tcBorders>
              <w:bottom w:val="single" w:sz="4" w:space="0" w:color="CFD7D8"/>
            </w:tcBorders>
            <w:vAlign w:val="center"/>
          </w:tcPr>
          <w:p w14:paraId="7C1A2C36" w14:textId="77777777" w:rsidR="003F3D5E" w:rsidRDefault="005D26F5">
            <w:pPr>
              <w:pStyle w:val="SourceTableBody"/>
              <w:keepNext/>
              <w:keepLines/>
            </w:pPr>
            <w:r>
              <w:t xml:space="preserve">Important social, occupational, or </w:t>
            </w:r>
            <w:r>
              <w:t>recreational activities given up or reduced</w:t>
            </w:r>
          </w:p>
        </w:tc>
        <w:tc>
          <w:tcPr>
            <w:tcW w:w="737" w:type="dxa"/>
            <w:tcBorders>
              <w:bottom w:val="single" w:sz="4" w:space="0" w:color="CFD7D8"/>
            </w:tcBorders>
            <w:vAlign w:val="center"/>
          </w:tcPr>
          <w:p w14:paraId="131F15EC" w14:textId="77777777" w:rsidR="003F3D5E" w:rsidRDefault="005D26F5">
            <w:pPr>
              <w:pStyle w:val="SourceTableBody"/>
              <w:keepNext/>
              <w:keepLines/>
            </w:pPr>
            <w:r>
              <w:t>7.5%</w:t>
            </w:r>
          </w:p>
        </w:tc>
        <w:tc>
          <w:tcPr>
            <w:tcW w:w="737" w:type="dxa"/>
            <w:tcBorders>
              <w:bottom w:val="single" w:sz="4" w:space="0" w:color="CFD7D8"/>
            </w:tcBorders>
            <w:vAlign w:val="center"/>
          </w:tcPr>
          <w:p w14:paraId="2A98AD6B" w14:textId="77777777" w:rsidR="003F3D5E" w:rsidRDefault="005D26F5">
            <w:pPr>
              <w:pStyle w:val="SourceTableBody"/>
              <w:keepNext/>
              <w:keepLines/>
            </w:pPr>
            <w:r>
              <w:t>20.6%</w:t>
            </w:r>
          </w:p>
        </w:tc>
      </w:tr>
      <w:tr w:rsidR="003F3D5E" w14:paraId="2CBBDEFC" w14:textId="77777777">
        <w:trPr>
          <w:cantSplit/>
          <w:jc w:val="center"/>
        </w:trPr>
        <w:tc>
          <w:tcPr>
            <w:tcW w:w="2948" w:type="dxa"/>
            <w:tcBorders>
              <w:bottom w:val="single" w:sz="4" w:space="0" w:color="CFD7D8"/>
            </w:tcBorders>
            <w:shd w:val="clear" w:color="auto" w:fill="F1F5F6"/>
            <w:vAlign w:val="center"/>
          </w:tcPr>
          <w:p w14:paraId="75F9DE44" w14:textId="77777777" w:rsidR="003F3D5E" w:rsidRDefault="005D26F5">
            <w:pPr>
              <w:pStyle w:val="SourceTableBody"/>
              <w:keepNext/>
              <w:keepLines/>
            </w:pPr>
            <w:r>
              <w:t>Use continues despite knowledge of adverse consequences (e.g. failure to fulfill role obligation, use when physically hazardous)</w:t>
            </w:r>
          </w:p>
        </w:tc>
        <w:tc>
          <w:tcPr>
            <w:tcW w:w="737" w:type="dxa"/>
            <w:tcBorders>
              <w:bottom w:val="single" w:sz="4" w:space="0" w:color="CFD7D8"/>
            </w:tcBorders>
            <w:shd w:val="clear" w:color="auto" w:fill="F1F5F6"/>
            <w:vAlign w:val="center"/>
          </w:tcPr>
          <w:p w14:paraId="0DD0D9AE" w14:textId="77777777" w:rsidR="003F3D5E" w:rsidRDefault="005D26F5">
            <w:pPr>
              <w:pStyle w:val="SourceTableBody"/>
              <w:keepNext/>
              <w:keepLines/>
            </w:pPr>
            <w:r>
              <w:t>15%</w:t>
            </w:r>
          </w:p>
        </w:tc>
        <w:tc>
          <w:tcPr>
            <w:tcW w:w="737" w:type="dxa"/>
            <w:tcBorders>
              <w:bottom w:val="single" w:sz="4" w:space="0" w:color="CFD7D8"/>
            </w:tcBorders>
            <w:shd w:val="clear" w:color="auto" w:fill="F1F5F6"/>
            <w:vAlign w:val="center"/>
          </w:tcPr>
          <w:p w14:paraId="203BAF2C" w14:textId="77777777" w:rsidR="003F3D5E" w:rsidRDefault="005D26F5">
            <w:pPr>
              <w:pStyle w:val="SourceTableBody"/>
              <w:keepNext/>
              <w:keepLines/>
            </w:pPr>
            <w:r>
              <w:t>26%</w:t>
            </w:r>
          </w:p>
        </w:tc>
      </w:tr>
      <w:tr w:rsidR="003F3D5E" w14:paraId="045C4AB2" w14:textId="77777777">
        <w:trPr>
          <w:cantSplit/>
          <w:jc w:val="center"/>
        </w:trPr>
        <w:tc>
          <w:tcPr>
            <w:tcW w:w="2948" w:type="dxa"/>
            <w:tcBorders>
              <w:bottom w:val="single" w:sz="4" w:space="0" w:color="CFD7D8"/>
            </w:tcBorders>
            <w:vAlign w:val="center"/>
          </w:tcPr>
          <w:p w14:paraId="3E6645A2" w14:textId="77777777" w:rsidR="003F3D5E" w:rsidRDefault="005D26F5">
            <w:pPr>
              <w:pStyle w:val="SourceTableBody"/>
              <w:keepNext/>
              <w:keepLines/>
            </w:pPr>
            <w:r>
              <w:t xml:space="preserve">Tolerance (marked increase in amount; marked decrease in </w:t>
            </w:r>
            <w:r>
              <w:t>effect)</w:t>
            </w:r>
          </w:p>
        </w:tc>
        <w:tc>
          <w:tcPr>
            <w:tcW w:w="737" w:type="dxa"/>
            <w:tcBorders>
              <w:bottom w:val="single" w:sz="4" w:space="0" w:color="CFD7D8"/>
            </w:tcBorders>
            <w:vAlign w:val="center"/>
          </w:tcPr>
          <w:p w14:paraId="748A3AC1" w14:textId="77777777" w:rsidR="003F3D5E" w:rsidRDefault="005D26F5">
            <w:pPr>
              <w:pStyle w:val="SourceTableBody"/>
              <w:keepNext/>
              <w:keepLines/>
            </w:pPr>
            <w:r>
              <w:t>23.3%</w:t>
            </w:r>
          </w:p>
        </w:tc>
        <w:tc>
          <w:tcPr>
            <w:tcW w:w="737" w:type="dxa"/>
            <w:tcBorders>
              <w:bottom w:val="single" w:sz="4" w:space="0" w:color="CFD7D8"/>
            </w:tcBorders>
            <w:vAlign w:val="center"/>
          </w:tcPr>
          <w:p w14:paraId="75FCF552" w14:textId="77777777" w:rsidR="003F3D5E" w:rsidRDefault="005D26F5">
            <w:pPr>
              <w:pStyle w:val="SourceTableBody"/>
              <w:keepNext/>
              <w:keepLines/>
            </w:pPr>
            <w:r>
              <w:t>33.9%</w:t>
            </w:r>
          </w:p>
        </w:tc>
      </w:tr>
      <w:tr w:rsidR="003F3D5E" w14:paraId="6962ACCA" w14:textId="77777777">
        <w:trPr>
          <w:cantSplit/>
          <w:jc w:val="center"/>
        </w:trPr>
        <w:tc>
          <w:tcPr>
            <w:tcW w:w="2948" w:type="dxa"/>
            <w:tcBorders>
              <w:bottom w:val="single" w:sz="4" w:space="0" w:color="CFD7D8"/>
            </w:tcBorders>
            <w:shd w:val="clear" w:color="auto" w:fill="F1F5F6"/>
            <w:vAlign w:val="center"/>
          </w:tcPr>
          <w:p w14:paraId="63AA4489" w14:textId="77777777" w:rsidR="003F3D5E" w:rsidRDefault="005D26F5">
            <w:pPr>
              <w:pStyle w:val="SourceTableBody"/>
              <w:keepNext/>
              <w:keepLines/>
            </w:pPr>
            <w:r>
              <w:t>Characteristic withdrawal symptoms; substance taken to relieve withdrawal</w:t>
            </w:r>
          </w:p>
        </w:tc>
        <w:tc>
          <w:tcPr>
            <w:tcW w:w="737" w:type="dxa"/>
            <w:tcBorders>
              <w:bottom w:val="single" w:sz="4" w:space="0" w:color="CFD7D8"/>
            </w:tcBorders>
            <w:shd w:val="clear" w:color="auto" w:fill="F1F5F6"/>
            <w:vAlign w:val="center"/>
          </w:tcPr>
          <w:p w14:paraId="16142C9D" w14:textId="77777777" w:rsidR="003F3D5E" w:rsidRDefault="005D26F5">
            <w:pPr>
              <w:pStyle w:val="SourceTableBody"/>
              <w:keepNext/>
              <w:keepLines/>
            </w:pPr>
            <w:r>
              <w:t>12.5%</w:t>
            </w:r>
          </w:p>
        </w:tc>
        <w:tc>
          <w:tcPr>
            <w:tcW w:w="737" w:type="dxa"/>
            <w:tcBorders>
              <w:bottom w:val="single" w:sz="4" w:space="0" w:color="CFD7D8"/>
            </w:tcBorders>
            <w:shd w:val="clear" w:color="auto" w:fill="F1F5F6"/>
            <w:vAlign w:val="center"/>
          </w:tcPr>
          <w:p w14:paraId="1F004BA5" w14:textId="77777777" w:rsidR="003F3D5E" w:rsidRDefault="005D26F5">
            <w:pPr>
              <w:pStyle w:val="SourceTableBody"/>
              <w:keepNext/>
              <w:keepLines/>
            </w:pPr>
            <w:r>
              <w:t>24.5%</w:t>
            </w:r>
          </w:p>
        </w:tc>
      </w:tr>
      <w:tr w:rsidR="003F3D5E" w14:paraId="494653E6" w14:textId="77777777">
        <w:trPr>
          <w:cantSplit/>
          <w:jc w:val="center"/>
        </w:trPr>
        <w:tc>
          <w:tcPr>
            <w:tcW w:w="2948" w:type="dxa"/>
            <w:tcBorders>
              <w:bottom w:val="single" w:sz="4" w:space="0" w:color="CFD7D8"/>
            </w:tcBorders>
            <w:vAlign w:val="center"/>
          </w:tcPr>
          <w:p w14:paraId="098BB5E6" w14:textId="77777777" w:rsidR="003F3D5E" w:rsidRDefault="005D26F5">
            <w:pPr>
              <w:pStyle w:val="SourceTableBody"/>
              <w:keepLines/>
            </w:pPr>
            <w:r>
              <w:t>“Food addiction” diagnosis (Three or more symptoms plus clinically significant impairment or distress)</w:t>
            </w:r>
          </w:p>
        </w:tc>
        <w:tc>
          <w:tcPr>
            <w:tcW w:w="737" w:type="dxa"/>
            <w:tcBorders>
              <w:bottom w:val="single" w:sz="4" w:space="0" w:color="CFD7D8"/>
            </w:tcBorders>
            <w:vAlign w:val="center"/>
          </w:tcPr>
          <w:p w14:paraId="4FCDFD57" w14:textId="77777777" w:rsidR="003F3D5E" w:rsidRDefault="005D26F5">
            <w:pPr>
              <w:pStyle w:val="SourceTableBody"/>
              <w:keepLines/>
            </w:pPr>
            <w:r>
              <w:t>6.7%</w:t>
            </w:r>
          </w:p>
        </w:tc>
        <w:tc>
          <w:tcPr>
            <w:tcW w:w="737" w:type="dxa"/>
            <w:tcBorders>
              <w:bottom w:val="single" w:sz="4" w:space="0" w:color="CFD7D8"/>
            </w:tcBorders>
            <w:vAlign w:val="center"/>
          </w:tcPr>
          <w:p w14:paraId="2C7CC2B5" w14:textId="77777777" w:rsidR="003F3D5E" w:rsidRDefault="005D26F5">
            <w:pPr>
              <w:pStyle w:val="SourceTableBody"/>
              <w:keepLines/>
            </w:pPr>
            <w:r>
              <w:t>10.2%</w:t>
            </w:r>
          </w:p>
        </w:tc>
      </w:tr>
    </w:tbl>
    <w:p w14:paraId="2A0D7699" w14:textId="77777777" w:rsidR="003F3D5E" w:rsidRDefault="005D26F5">
      <w:pPr>
        <w:pStyle w:val="ArticleBody"/>
        <w:jc w:val="both"/>
      </w:pPr>
      <w:r>
        <w:t xml:space="preserve">Highly processed foods </w:t>
      </w:r>
      <w:r>
        <w:t>tended to receive higher problem ratings. Fat content and glycemic load, a measure reflecting the amount and blood-sugar impact of carbohydrates, were also associated with reported difficulties. Cheese ranked 16th in Study 1 and 10th in Study 2; pizza rank</w:t>
      </w:r>
      <w:r>
        <w:t>ed fourth and first, respectively. In Study 2, cheese received a mean rating of 3.22 out of 7, compared with 4.01 for pizza. These are ratings of perceived eating problems, not percentages of people diagnosed with addiction (Schulte et al., 2015, Tables 2–</w:t>
      </w:r>
      <w:r>
        <w:t>3).</w:t>
      </w:r>
    </w:p>
    <w:p w14:paraId="618B8F77" w14:textId="70894C92" w:rsidR="003F3D5E" w:rsidRDefault="005D26F5">
      <w:pPr>
        <w:pStyle w:val="ArticleCaption"/>
        <w:keepNext/>
        <w:spacing w:before="200" w:after="80"/>
      </w:pPr>
      <w:r>
        <w:rPr>
          <w:b/>
        </w:rPr>
        <w:t xml:space="preserve">Figure 2. Food rankings in Study 1: pizza ranked fourth, while cheese ranked sixteenth </w:t>
      </w:r>
    </w:p>
    <w:tbl>
      <w:tblPr>
        <w:tblW w:w="0" w:type="auto"/>
        <w:jc w:val="center"/>
        <w:tblLayout w:type="fixed"/>
        <w:tblLook w:val="04A0" w:firstRow="1" w:lastRow="0" w:firstColumn="1" w:lastColumn="0" w:noHBand="0" w:noVBand="1"/>
      </w:tblPr>
      <w:tblGrid>
        <w:gridCol w:w="567"/>
        <w:gridCol w:w="2041"/>
        <w:gridCol w:w="1134"/>
        <w:gridCol w:w="680"/>
      </w:tblGrid>
      <w:tr w:rsidR="003F3D5E" w14:paraId="377CD68D" w14:textId="77777777">
        <w:trPr>
          <w:tblHeader/>
          <w:jc w:val="center"/>
        </w:trPr>
        <w:tc>
          <w:tcPr>
            <w:tcW w:w="567" w:type="dxa"/>
            <w:tcBorders>
              <w:bottom w:val="single" w:sz="4" w:space="0" w:color="CFD7D8"/>
            </w:tcBorders>
            <w:shd w:val="clear" w:color="auto" w:fill="DBE7EB"/>
            <w:vAlign w:val="center"/>
          </w:tcPr>
          <w:p w14:paraId="420BB7CD" w14:textId="77777777" w:rsidR="003F3D5E" w:rsidRDefault="005D26F5">
            <w:pPr>
              <w:pStyle w:val="SourceTableHeader"/>
              <w:keepLines/>
            </w:pPr>
            <w:r>
              <w:t>Rank</w:t>
            </w:r>
          </w:p>
        </w:tc>
        <w:tc>
          <w:tcPr>
            <w:tcW w:w="2041" w:type="dxa"/>
            <w:tcBorders>
              <w:bottom w:val="single" w:sz="4" w:space="0" w:color="CFD7D8"/>
            </w:tcBorders>
            <w:shd w:val="clear" w:color="auto" w:fill="DBE7EB"/>
            <w:vAlign w:val="center"/>
          </w:tcPr>
          <w:p w14:paraId="5696F8B5" w14:textId="77777777" w:rsidR="003F3D5E" w:rsidRDefault="005D26F5">
            <w:pPr>
              <w:pStyle w:val="SourceTableHeader"/>
              <w:keepLines/>
            </w:pPr>
            <w:r>
              <w:t>Food</w:t>
            </w:r>
          </w:p>
        </w:tc>
        <w:tc>
          <w:tcPr>
            <w:tcW w:w="1134" w:type="dxa"/>
            <w:tcBorders>
              <w:bottom w:val="single" w:sz="4" w:space="0" w:color="CFD7D8"/>
            </w:tcBorders>
            <w:shd w:val="clear" w:color="auto" w:fill="DBE7EB"/>
            <w:vAlign w:val="center"/>
          </w:tcPr>
          <w:p w14:paraId="78D00B4C" w14:textId="77777777" w:rsidR="003F3D5E" w:rsidRDefault="005D26F5">
            <w:pPr>
              <w:pStyle w:val="SourceTableHeader"/>
              <w:keepLines/>
            </w:pPr>
            <w:r>
              <w:t>Frequency</w:t>
            </w:r>
          </w:p>
        </w:tc>
        <w:tc>
          <w:tcPr>
            <w:tcW w:w="680" w:type="dxa"/>
            <w:tcBorders>
              <w:bottom w:val="single" w:sz="4" w:space="0" w:color="CFD7D8"/>
            </w:tcBorders>
            <w:shd w:val="clear" w:color="auto" w:fill="DBE7EB"/>
            <w:vAlign w:val="center"/>
          </w:tcPr>
          <w:p w14:paraId="604E50C1" w14:textId="77777777" w:rsidR="003F3D5E" w:rsidRDefault="005D26F5">
            <w:pPr>
              <w:pStyle w:val="SourceTableHeader"/>
              <w:keepLines/>
            </w:pPr>
            <w:r>
              <w:t>Proc.</w:t>
            </w:r>
          </w:p>
        </w:tc>
      </w:tr>
      <w:tr w:rsidR="003F3D5E" w14:paraId="0C174F26" w14:textId="77777777">
        <w:trPr>
          <w:cantSplit/>
          <w:jc w:val="center"/>
        </w:trPr>
        <w:tc>
          <w:tcPr>
            <w:tcW w:w="567" w:type="dxa"/>
            <w:tcBorders>
              <w:bottom w:val="single" w:sz="4" w:space="0" w:color="CFD7D8"/>
            </w:tcBorders>
            <w:shd w:val="clear" w:color="auto" w:fill="F1F5F6"/>
            <w:vAlign w:val="center"/>
          </w:tcPr>
          <w:p w14:paraId="4B3FC247" w14:textId="77777777" w:rsidR="003F3D5E" w:rsidRDefault="005D26F5">
            <w:pPr>
              <w:pStyle w:val="SourceTableBody"/>
              <w:keepNext/>
              <w:keepLines/>
            </w:pPr>
            <w:r>
              <w:t>1</w:t>
            </w:r>
          </w:p>
        </w:tc>
        <w:tc>
          <w:tcPr>
            <w:tcW w:w="2041" w:type="dxa"/>
            <w:tcBorders>
              <w:bottom w:val="single" w:sz="4" w:space="0" w:color="CFD7D8"/>
            </w:tcBorders>
            <w:shd w:val="clear" w:color="auto" w:fill="F1F5F6"/>
            <w:vAlign w:val="center"/>
          </w:tcPr>
          <w:p w14:paraId="680CFC93" w14:textId="77777777" w:rsidR="003F3D5E" w:rsidRDefault="005D26F5">
            <w:pPr>
              <w:pStyle w:val="SourceTableBody"/>
              <w:keepNext/>
              <w:keepLines/>
            </w:pPr>
            <w:r>
              <w:t>Chocolate</w:t>
            </w:r>
          </w:p>
        </w:tc>
        <w:tc>
          <w:tcPr>
            <w:tcW w:w="1134" w:type="dxa"/>
            <w:tcBorders>
              <w:bottom w:val="single" w:sz="4" w:space="0" w:color="CFD7D8"/>
            </w:tcBorders>
            <w:shd w:val="clear" w:color="auto" w:fill="F1F5F6"/>
            <w:vAlign w:val="center"/>
          </w:tcPr>
          <w:p w14:paraId="55428AFD" w14:textId="77777777" w:rsidR="003F3D5E" w:rsidRDefault="005D26F5">
            <w:pPr>
              <w:pStyle w:val="SourceTableBody"/>
              <w:keepNext/>
              <w:keepLines/>
            </w:pPr>
            <w:r>
              <w:t>27.60</w:t>
            </w:r>
          </w:p>
        </w:tc>
        <w:tc>
          <w:tcPr>
            <w:tcW w:w="680" w:type="dxa"/>
            <w:tcBorders>
              <w:bottom w:val="single" w:sz="4" w:space="0" w:color="CFD7D8"/>
            </w:tcBorders>
            <w:shd w:val="clear" w:color="auto" w:fill="F1F5F6"/>
            <w:vAlign w:val="center"/>
          </w:tcPr>
          <w:p w14:paraId="74DAE1DA" w14:textId="77777777" w:rsidR="003F3D5E" w:rsidRDefault="005D26F5">
            <w:pPr>
              <w:pStyle w:val="SourceTableBody"/>
              <w:keepNext/>
              <w:keepLines/>
            </w:pPr>
            <w:r>
              <w:t>Y</w:t>
            </w:r>
          </w:p>
        </w:tc>
      </w:tr>
      <w:tr w:rsidR="003F3D5E" w14:paraId="3636F27C" w14:textId="77777777">
        <w:trPr>
          <w:cantSplit/>
          <w:jc w:val="center"/>
        </w:trPr>
        <w:tc>
          <w:tcPr>
            <w:tcW w:w="567" w:type="dxa"/>
            <w:tcBorders>
              <w:bottom w:val="single" w:sz="4" w:space="0" w:color="CFD7D8"/>
            </w:tcBorders>
            <w:vAlign w:val="center"/>
          </w:tcPr>
          <w:p w14:paraId="75442E75" w14:textId="77777777" w:rsidR="003F3D5E" w:rsidRDefault="005D26F5">
            <w:pPr>
              <w:pStyle w:val="SourceTableBody"/>
              <w:keepNext/>
              <w:keepLines/>
            </w:pPr>
            <w:r>
              <w:t>2</w:t>
            </w:r>
          </w:p>
        </w:tc>
        <w:tc>
          <w:tcPr>
            <w:tcW w:w="2041" w:type="dxa"/>
            <w:tcBorders>
              <w:bottom w:val="single" w:sz="4" w:space="0" w:color="CFD7D8"/>
            </w:tcBorders>
            <w:vAlign w:val="center"/>
          </w:tcPr>
          <w:p w14:paraId="53B72D8C" w14:textId="77777777" w:rsidR="003F3D5E" w:rsidRDefault="005D26F5">
            <w:pPr>
              <w:pStyle w:val="SourceTableBody"/>
              <w:keepNext/>
              <w:keepLines/>
            </w:pPr>
            <w:r>
              <w:t>Ice Cream</w:t>
            </w:r>
          </w:p>
        </w:tc>
        <w:tc>
          <w:tcPr>
            <w:tcW w:w="1134" w:type="dxa"/>
            <w:tcBorders>
              <w:bottom w:val="single" w:sz="4" w:space="0" w:color="CFD7D8"/>
            </w:tcBorders>
            <w:vAlign w:val="center"/>
          </w:tcPr>
          <w:p w14:paraId="355B3531" w14:textId="77777777" w:rsidR="003F3D5E" w:rsidRDefault="005D26F5">
            <w:pPr>
              <w:pStyle w:val="SourceTableBody"/>
              <w:keepNext/>
              <w:keepLines/>
            </w:pPr>
            <w:r>
              <w:t>27.02</w:t>
            </w:r>
          </w:p>
        </w:tc>
        <w:tc>
          <w:tcPr>
            <w:tcW w:w="680" w:type="dxa"/>
            <w:tcBorders>
              <w:bottom w:val="single" w:sz="4" w:space="0" w:color="CFD7D8"/>
            </w:tcBorders>
            <w:vAlign w:val="center"/>
          </w:tcPr>
          <w:p w14:paraId="071470C5" w14:textId="77777777" w:rsidR="003F3D5E" w:rsidRDefault="005D26F5">
            <w:pPr>
              <w:pStyle w:val="SourceTableBody"/>
              <w:keepNext/>
              <w:keepLines/>
            </w:pPr>
            <w:r>
              <w:t>Y</w:t>
            </w:r>
          </w:p>
        </w:tc>
      </w:tr>
      <w:tr w:rsidR="003F3D5E" w14:paraId="226B204B" w14:textId="77777777">
        <w:trPr>
          <w:cantSplit/>
          <w:jc w:val="center"/>
        </w:trPr>
        <w:tc>
          <w:tcPr>
            <w:tcW w:w="567" w:type="dxa"/>
            <w:tcBorders>
              <w:bottom w:val="single" w:sz="4" w:space="0" w:color="CFD7D8"/>
            </w:tcBorders>
            <w:shd w:val="clear" w:color="auto" w:fill="F1F5F6"/>
            <w:vAlign w:val="center"/>
          </w:tcPr>
          <w:p w14:paraId="75014C5F" w14:textId="77777777" w:rsidR="003F3D5E" w:rsidRDefault="005D26F5">
            <w:pPr>
              <w:pStyle w:val="SourceTableBody"/>
              <w:keepNext/>
              <w:keepLines/>
            </w:pPr>
            <w:r>
              <w:t>3</w:t>
            </w:r>
          </w:p>
        </w:tc>
        <w:tc>
          <w:tcPr>
            <w:tcW w:w="2041" w:type="dxa"/>
            <w:tcBorders>
              <w:bottom w:val="single" w:sz="4" w:space="0" w:color="CFD7D8"/>
            </w:tcBorders>
            <w:shd w:val="clear" w:color="auto" w:fill="F1F5F6"/>
            <w:vAlign w:val="center"/>
          </w:tcPr>
          <w:p w14:paraId="4DDBC3BC" w14:textId="77777777" w:rsidR="003F3D5E" w:rsidRDefault="005D26F5">
            <w:pPr>
              <w:pStyle w:val="SourceTableBody"/>
              <w:keepNext/>
              <w:keepLines/>
            </w:pPr>
            <w:r>
              <w:t>French Fries</w:t>
            </w:r>
          </w:p>
        </w:tc>
        <w:tc>
          <w:tcPr>
            <w:tcW w:w="1134" w:type="dxa"/>
            <w:tcBorders>
              <w:bottom w:val="single" w:sz="4" w:space="0" w:color="CFD7D8"/>
            </w:tcBorders>
            <w:shd w:val="clear" w:color="auto" w:fill="F1F5F6"/>
            <w:vAlign w:val="center"/>
          </w:tcPr>
          <w:p w14:paraId="02F0DA71" w14:textId="77777777" w:rsidR="003F3D5E" w:rsidRDefault="005D26F5">
            <w:pPr>
              <w:pStyle w:val="SourceTableBody"/>
              <w:keepNext/>
              <w:keepLines/>
            </w:pPr>
            <w:r>
              <w:t>26.94</w:t>
            </w:r>
          </w:p>
        </w:tc>
        <w:tc>
          <w:tcPr>
            <w:tcW w:w="680" w:type="dxa"/>
            <w:tcBorders>
              <w:bottom w:val="single" w:sz="4" w:space="0" w:color="CFD7D8"/>
            </w:tcBorders>
            <w:shd w:val="clear" w:color="auto" w:fill="F1F5F6"/>
            <w:vAlign w:val="center"/>
          </w:tcPr>
          <w:p w14:paraId="6CF8DE0A" w14:textId="77777777" w:rsidR="003F3D5E" w:rsidRDefault="005D26F5">
            <w:pPr>
              <w:pStyle w:val="SourceTableBody"/>
              <w:keepNext/>
              <w:keepLines/>
            </w:pPr>
            <w:r>
              <w:t>Y</w:t>
            </w:r>
          </w:p>
        </w:tc>
      </w:tr>
      <w:tr w:rsidR="003F3D5E" w14:paraId="00905D9F" w14:textId="77777777">
        <w:trPr>
          <w:cantSplit/>
          <w:jc w:val="center"/>
        </w:trPr>
        <w:tc>
          <w:tcPr>
            <w:tcW w:w="567" w:type="dxa"/>
            <w:tcBorders>
              <w:bottom w:val="single" w:sz="4" w:space="0" w:color="CFD7D8"/>
            </w:tcBorders>
            <w:vAlign w:val="center"/>
          </w:tcPr>
          <w:p w14:paraId="02C2B4FE" w14:textId="77777777" w:rsidR="003F3D5E" w:rsidRDefault="005D26F5">
            <w:pPr>
              <w:pStyle w:val="SourceTableBody"/>
              <w:keepNext/>
              <w:keepLines/>
            </w:pPr>
            <w:r>
              <w:rPr>
                <w:b/>
              </w:rPr>
              <w:t>4</w:t>
            </w:r>
          </w:p>
        </w:tc>
        <w:tc>
          <w:tcPr>
            <w:tcW w:w="2041" w:type="dxa"/>
            <w:tcBorders>
              <w:bottom w:val="single" w:sz="4" w:space="0" w:color="CFD7D8"/>
            </w:tcBorders>
            <w:vAlign w:val="center"/>
          </w:tcPr>
          <w:p w14:paraId="02A61C4A" w14:textId="77777777" w:rsidR="003F3D5E" w:rsidRDefault="005D26F5">
            <w:pPr>
              <w:pStyle w:val="SourceTableBody"/>
              <w:keepNext/>
              <w:keepLines/>
            </w:pPr>
            <w:r>
              <w:rPr>
                <w:b/>
              </w:rPr>
              <w:t>Pizza</w:t>
            </w:r>
          </w:p>
        </w:tc>
        <w:tc>
          <w:tcPr>
            <w:tcW w:w="1134" w:type="dxa"/>
            <w:tcBorders>
              <w:bottom w:val="single" w:sz="4" w:space="0" w:color="CFD7D8"/>
            </w:tcBorders>
            <w:vAlign w:val="center"/>
          </w:tcPr>
          <w:p w14:paraId="3997F636" w14:textId="77777777" w:rsidR="003F3D5E" w:rsidRDefault="005D26F5">
            <w:pPr>
              <w:pStyle w:val="SourceTableBody"/>
              <w:keepNext/>
              <w:keepLines/>
            </w:pPr>
            <w:r>
              <w:rPr>
                <w:b/>
              </w:rPr>
              <w:t>26.73</w:t>
            </w:r>
          </w:p>
        </w:tc>
        <w:tc>
          <w:tcPr>
            <w:tcW w:w="680" w:type="dxa"/>
            <w:tcBorders>
              <w:bottom w:val="single" w:sz="4" w:space="0" w:color="CFD7D8"/>
            </w:tcBorders>
            <w:vAlign w:val="center"/>
          </w:tcPr>
          <w:p w14:paraId="15CD505B" w14:textId="77777777" w:rsidR="003F3D5E" w:rsidRDefault="005D26F5">
            <w:pPr>
              <w:pStyle w:val="SourceTableBody"/>
              <w:keepNext/>
              <w:keepLines/>
            </w:pPr>
            <w:r>
              <w:rPr>
                <w:b/>
              </w:rPr>
              <w:t>Y</w:t>
            </w:r>
          </w:p>
        </w:tc>
      </w:tr>
      <w:tr w:rsidR="003F3D5E" w14:paraId="2901AD3E" w14:textId="77777777">
        <w:trPr>
          <w:cantSplit/>
          <w:jc w:val="center"/>
        </w:trPr>
        <w:tc>
          <w:tcPr>
            <w:tcW w:w="567" w:type="dxa"/>
            <w:tcBorders>
              <w:bottom w:val="single" w:sz="4" w:space="0" w:color="CFD7D8"/>
            </w:tcBorders>
            <w:shd w:val="clear" w:color="auto" w:fill="F1F5F6"/>
            <w:vAlign w:val="center"/>
          </w:tcPr>
          <w:p w14:paraId="3D6456D5" w14:textId="77777777" w:rsidR="003F3D5E" w:rsidRDefault="005D26F5">
            <w:pPr>
              <w:pStyle w:val="SourceTableBody"/>
              <w:keepNext/>
              <w:keepLines/>
            </w:pPr>
            <w:r>
              <w:t>5</w:t>
            </w:r>
          </w:p>
        </w:tc>
        <w:tc>
          <w:tcPr>
            <w:tcW w:w="2041" w:type="dxa"/>
            <w:tcBorders>
              <w:bottom w:val="single" w:sz="4" w:space="0" w:color="CFD7D8"/>
            </w:tcBorders>
            <w:shd w:val="clear" w:color="auto" w:fill="F1F5F6"/>
            <w:vAlign w:val="center"/>
          </w:tcPr>
          <w:p w14:paraId="4D63FA74" w14:textId="77777777" w:rsidR="003F3D5E" w:rsidRDefault="005D26F5">
            <w:pPr>
              <w:pStyle w:val="SourceTableBody"/>
              <w:keepNext/>
              <w:keepLines/>
            </w:pPr>
            <w:r>
              <w:t>Cookie</w:t>
            </w:r>
          </w:p>
        </w:tc>
        <w:tc>
          <w:tcPr>
            <w:tcW w:w="1134" w:type="dxa"/>
            <w:tcBorders>
              <w:bottom w:val="single" w:sz="4" w:space="0" w:color="CFD7D8"/>
            </w:tcBorders>
            <w:shd w:val="clear" w:color="auto" w:fill="F1F5F6"/>
            <w:vAlign w:val="center"/>
          </w:tcPr>
          <w:p w14:paraId="0F8C079D" w14:textId="77777777" w:rsidR="003F3D5E" w:rsidRDefault="005D26F5">
            <w:pPr>
              <w:pStyle w:val="SourceTableBody"/>
              <w:keepNext/>
              <w:keepLines/>
            </w:pPr>
            <w:r>
              <w:t>26.72</w:t>
            </w:r>
          </w:p>
        </w:tc>
        <w:tc>
          <w:tcPr>
            <w:tcW w:w="680" w:type="dxa"/>
            <w:tcBorders>
              <w:bottom w:val="single" w:sz="4" w:space="0" w:color="CFD7D8"/>
            </w:tcBorders>
            <w:shd w:val="clear" w:color="auto" w:fill="F1F5F6"/>
            <w:vAlign w:val="center"/>
          </w:tcPr>
          <w:p w14:paraId="0A0CD2DA" w14:textId="77777777" w:rsidR="003F3D5E" w:rsidRDefault="005D26F5">
            <w:pPr>
              <w:pStyle w:val="SourceTableBody"/>
              <w:keepNext/>
              <w:keepLines/>
            </w:pPr>
            <w:r>
              <w:t>Y</w:t>
            </w:r>
          </w:p>
        </w:tc>
      </w:tr>
      <w:tr w:rsidR="003F3D5E" w14:paraId="1D095D89" w14:textId="77777777">
        <w:trPr>
          <w:cantSplit/>
          <w:jc w:val="center"/>
        </w:trPr>
        <w:tc>
          <w:tcPr>
            <w:tcW w:w="567" w:type="dxa"/>
            <w:tcBorders>
              <w:bottom w:val="single" w:sz="4" w:space="0" w:color="CFD7D8"/>
            </w:tcBorders>
            <w:vAlign w:val="center"/>
          </w:tcPr>
          <w:p w14:paraId="405FF845" w14:textId="77777777" w:rsidR="003F3D5E" w:rsidRDefault="005D26F5">
            <w:pPr>
              <w:pStyle w:val="SourceTableBody"/>
              <w:keepNext/>
              <w:keepLines/>
            </w:pPr>
            <w:r>
              <w:t>6</w:t>
            </w:r>
          </w:p>
        </w:tc>
        <w:tc>
          <w:tcPr>
            <w:tcW w:w="2041" w:type="dxa"/>
            <w:tcBorders>
              <w:bottom w:val="single" w:sz="4" w:space="0" w:color="CFD7D8"/>
            </w:tcBorders>
            <w:vAlign w:val="center"/>
          </w:tcPr>
          <w:p w14:paraId="3CC43340" w14:textId="77777777" w:rsidR="003F3D5E" w:rsidRDefault="005D26F5">
            <w:pPr>
              <w:pStyle w:val="SourceTableBody"/>
              <w:keepNext/>
              <w:keepLines/>
            </w:pPr>
            <w:r>
              <w:t>Chips</w:t>
            </w:r>
          </w:p>
        </w:tc>
        <w:tc>
          <w:tcPr>
            <w:tcW w:w="1134" w:type="dxa"/>
            <w:tcBorders>
              <w:bottom w:val="single" w:sz="4" w:space="0" w:color="CFD7D8"/>
            </w:tcBorders>
            <w:vAlign w:val="center"/>
          </w:tcPr>
          <w:p w14:paraId="4DEF0354" w14:textId="77777777" w:rsidR="003F3D5E" w:rsidRDefault="005D26F5">
            <w:pPr>
              <w:pStyle w:val="SourceTableBody"/>
              <w:keepNext/>
              <w:keepLines/>
            </w:pPr>
            <w:r>
              <w:t>25.38</w:t>
            </w:r>
          </w:p>
        </w:tc>
        <w:tc>
          <w:tcPr>
            <w:tcW w:w="680" w:type="dxa"/>
            <w:tcBorders>
              <w:bottom w:val="single" w:sz="4" w:space="0" w:color="CFD7D8"/>
            </w:tcBorders>
            <w:vAlign w:val="center"/>
          </w:tcPr>
          <w:p w14:paraId="655F88A0" w14:textId="77777777" w:rsidR="003F3D5E" w:rsidRDefault="005D26F5">
            <w:pPr>
              <w:pStyle w:val="SourceTableBody"/>
              <w:keepNext/>
              <w:keepLines/>
            </w:pPr>
            <w:r>
              <w:t>Y</w:t>
            </w:r>
          </w:p>
        </w:tc>
      </w:tr>
      <w:tr w:rsidR="003F3D5E" w14:paraId="32C8F2C2" w14:textId="77777777">
        <w:trPr>
          <w:cantSplit/>
          <w:jc w:val="center"/>
        </w:trPr>
        <w:tc>
          <w:tcPr>
            <w:tcW w:w="567" w:type="dxa"/>
            <w:tcBorders>
              <w:bottom w:val="single" w:sz="4" w:space="0" w:color="CFD7D8"/>
            </w:tcBorders>
            <w:shd w:val="clear" w:color="auto" w:fill="F1F5F6"/>
            <w:vAlign w:val="center"/>
          </w:tcPr>
          <w:p w14:paraId="0B560A78" w14:textId="77777777" w:rsidR="003F3D5E" w:rsidRDefault="005D26F5">
            <w:pPr>
              <w:pStyle w:val="SourceTableBody"/>
              <w:keepNext/>
              <w:keepLines/>
            </w:pPr>
            <w:r>
              <w:t>7</w:t>
            </w:r>
          </w:p>
        </w:tc>
        <w:tc>
          <w:tcPr>
            <w:tcW w:w="2041" w:type="dxa"/>
            <w:tcBorders>
              <w:bottom w:val="single" w:sz="4" w:space="0" w:color="CFD7D8"/>
            </w:tcBorders>
            <w:shd w:val="clear" w:color="auto" w:fill="F1F5F6"/>
            <w:vAlign w:val="center"/>
          </w:tcPr>
          <w:p w14:paraId="7EDC4BD2" w14:textId="77777777" w:rsidR="003F3D5E" w:rsidRDefault="005D26F5">
            <w:pPr>
              <w:pStyle w:val="SourceTableBody"/>
              <w:keepNext/>
              <w:keepLines/>
            </w:pPr>
            <w:r>
              <w:t>Cake</w:t>
            </w:r>
          </w:p>
        </w:tc>
        <w:tc>
          <w:tcPr>
            <w:tcW w:w="1134" w:type="dxa"/>
            <w:tcBorders>
              <w:bottom w:val="single" w:sz="4" w:space="0" w:color="CFD7D8"/>
            </w:tcBorders>
            <w:shd w:val="clear" w:color="auto" w:fill="F1F5F6"/>
            <w:vAlign w:val="center"/>
          </w:tcPr>
          <w:p w14:paraId="6455BA43" w14:textId="77777777" w:rsidR="003F3D5E" w:rsidRDefault="005D26F5">
            <w:pPr>
              <w:pStyle w:val="SourceTableBody"/>
              <w:keepNext/>
              <w:keepLines/>
            </w:pPr>
            <w:r>
              <w:t>24.84</w:t>
            </w:r>
          </w:p>
        </w:tc>
        <w:tc>
          <w:tcPr>
            <w:tcW w:w="680" w:type="dxa"/>
            <w:tcBorders>
              <w:bottom w:val="single" w:sz="4" w:space="0" w:color="CFD7D8"/>
            </w:tcBorders>
            <w:shd w:val="clear" w:color="auto" w:fill="F1F5F6"/>
            <w:vAlign w:val="center"/>
          </w:tcPr>
          <w:p w14:paraId="47D789A9" w14:textId="77777777" w:rsidR="003F3D5E" w:rsidRDefault="005D26F5">
            <w:pPr>
              <w:pStyle w:val="SourceTableBody"/>
              <w:keepNext/>
              <w:keepLines/>
            </w:pPr>
            <w:r>
              <w:t>Y</w:t>
            </w:r>
          </w:p>
        </w:tc>
      </w:tr>
      <w:tr w:rsidR="003F3D5E" w14:paraId="4EDEFAC4" w14:textId="77777777">
        <w:trPr>
          <w:cantSplit/>
          <w:jc w:val="center"/>
        </w:trPr>
        <w:tc>
          <w:tcPr>
            <w:tcW w:w="567" w:type="dxa"/>
            <w:tcBorders>
              <w:bottom w:val="single" w:sz="4" w:space="0" w:color="CFD7D8"/>
            </w:tcBorders>
            <w:vAlign w:val="center"/>
          </w:tcPr>
          <w:p w14:paraId="6215D890" w14:textId="77777777" w:rsidR="003F3D5E" w:rsidRDefault="005D26F5">
            <w:pPr>
              <w:pStyle w:val="SourceTableBody"/>
              <w:keepNext/>
              <w:keepLines/>
            </w:pPr>
            <w:r>
              <w:t>8</w:t>
            </w:r>
          </w:p>
        </w:tc>
        <w:tc>
          <w:tcPr>
            <w:tcW w:w="2041" w:type="dxa"/>
            <w:tcBorders>
              <w:bottom w:val="single" w:sz="4" w:space="0" w:color="CFD7D8"/>
            </w:tcBorders>
            <w:vAlign w:val="center"/>
          </w:tcPr>
          <w:p w14:paraId="7B21EF37" w14:textId="77777777" w:rsidR="003F3D5E" w:rsidRDefault="005D26F5">
            <w:pPr>
              <w:pStyle w:val="SourceTableBody"/>
              <w:keepNext/>
              <w:keepLines/>
            </w:pPr>
            <w:r>
              <w:t>Popcorn (Buttered)</w:t>
            </w:r>
          </w:p>
        </w:tc>
        <w:tc>
          <w:tcPr>
            <w:tcW w:w="1134" w:type="dxa"/>
            <w:tcBorders>
              <w:bottom w:val="single" w:sz="4" w:space="0" w:color="CFD7D8"/>
            </w:tcBorders>
            <w:vAlign w:val="center"/>
          </w:tcPr>
          <w:p w14:paraId="5FE30831" w14:textId="77777777" w:rsidR="003F3D5E" w:rsidRDefault="005D26F5">
            <w:pPr>
              <w:pStyle w:val="SourceTableBody"/>
              <w:keepNext/>
              <w:keepLines/>
            </w:pPr>
            <w:r>
              <w:t>23.39</w:t>
            </w:r>
          </w:p>
        </w:tc>
        <w:tc>
          <w:tcPr>
            <w:tcW w:w="680" w:type="dxa"/>
            <w:tcBorders>
              <w:bottom w:val="single" w:sz="4" w:space="0" w:color="CFD7D8"/>
            </w:tcBorders>
            <w:vAlign w:val="center"/>
          </w:tcPr>
          <w:p w14:paraId="23BE1958" w14:textId="77777777" w:rsidR="003F3D5E" w:rsidRDefault="005D26F5">
            <w:pPr>
              <w:pStyle w:val="SourceTableBody"/>
              <w:keepNext/>
              <w:keepLines/>
            </w:pPr>
            <w:r>
              <w:t>Y</w:t>
            </w:r>
          </w:p>
        </w:tc>
      </w:tr>
      <w:tr w:rsidR="003F3D5E" w14:paraId="3419C8A5" w14:textId="77777777">
        <w:trPr>
          <w:cantSplit/>
          <w:jc w:val="center"/>
        </w:trPr>
        <w:tc>
          <w:tcPr>
            <w:tcW w:w="567" w:type="dxa"/>
            <w:tcBorders>
              <w:bottom w:val="single" w:sz="4" w:space="0" w:color="CFD7D8"/>
            </w:tcBorders>
            <w:shd w:val="clear" w:color="auto" w:fill="F1F5F6"/>
            <w:vAlign w:val="center"/>
          </w:tcPr>
          <w:p w14:paraId="5B471B13" w14:textId="77777777" w:rsidR="003F3D5E" w:rsidRDefault="005D26F5">
            <w:pPr>
              <w:pStyle w:val="SourceTableBody"/>
              <w:keepNext/>
              <w:keepLines/>
            </w:pPr>
            <w:r>
              <w:t>9</w:t>
            </w:r>
          </w:p>
        </w:tc>
        <w:tc>
          <w:tcPr>
            <w:tcW w:w="2041" w:type="dxa"/>
            <w:tcBorders>
              <w:bottom w:val="single" w:sz="4" w:space="0" w:color="CFD7D8"/>
            </w:tcBorders>
            <w:shd w:val="clear" w:color="auto" w:fill="F1F5F6"/>
            <w:vAlign w:val="center"/>
          </w:tcPr>
          <w:p w14:paraId="51E69AFE" w14:textId="77777777" w:rsidR="003F3D5E" w:rsidRDefault="005D26F5">
            <w:pPr>
              <w:pStyle w:val="SourceTableBody"/>
              <w:keepNext/>
              <w:keepLines/>
            </w:pPr>
            <w:r>
              <w:t>Cheeseburger</w:t>
            </w:r>
          </w:p>
        </w:tc>
        <w:tc>
          <w:tcPr>
            <w:tcW w:w="1134" w:type="dxa"/>
            <w:tcBorders>
              <w:bottom w:val="single" w:sz="4" w:space="0" w:color="CFD7D8"/>
            </w:tcBorders>
            <w:shd w:val="clear" w:color="auto" w:fill="F1F5F6"/>
            <w:vAlign w:val="center"/>
          </w:tcPr>
          <w:p w14:paraId="16D4DC1E" w14:textId="77777777" w:rsidR="003F3D5E" w:rsidRDefault="005D26F5">
            <w:pPr>
              <w:pStyle w:val="SourceTableBody"/>
              <w:keepNext/>
              <w:keepLines/>
            </w:pPr>
            <w:r>
              <w:t>21.26</w:t>
            </w:r>
          </w:p>
        </w:tc>
        <w:tc>
          <w:tcPr>
            <w:tcW w:w="680" w:type="dxa"/>
            <w:tcBorders>
              <w:bottom w:val="single" w:sz="4" w:space="0" w:color="CFD7D8"/>
            </w:tcBorders>
            <w:shd w:val="clear" w:color="auto" w:fill="F1F5F6"/>
            <w:vAlign w:val="center"/>
          </w:tcPr>
          <w:p w14:paraId="7F0D1634" w14:textId="77777777" w:rsidR="003F3D5E" w:rsidRDefault="005D26F5">
            <w:pPr>
              <w:pStyle w:val="SourceTableBody"/>
              <w:keepNext/>
              <w:keepLines/>
            </w:pPr>
            <w:r>
              <w:t>Y</w:t>
            </w:r>
          </w:p>
        </w:tc>
      </w:tr>
      <w:tr w:rsidR="003F3D5E" w14:paraId="23740628" w14:textId="77777777">
        <w:trPr>
          <w:cantSplit/>
          <w:jc w:val="center"/>
        </w:trPr>
        <w:tc>
          <w:tcPr>
            <w:tcW w:w="567" w:type="dxa"/>
            <w:tcBorders>
              <w:bottom w:val="single" w:sz="4" w:space="0" w:color="CFD7D8"/>
            </w:tcBorders>
            <w:vAlign w:val="center"/>
          </w:tcPr>
          <w:p w14:paraId="5C33303D" w14:textId="77777777" w:rsidR="003F3D5E" w:rsidRDefault="005D26F5">
            <w:pPr>
              <w:pStyle w:val="SourceTableBody"/>
              <w:keepNext/>
              <w:keepLines/>
            </w:pPr>
            <w:r>
              <w:t>10</w:t>
            </w:r>
          </w:p>
        </w:tc>
        <w:tc>
          <w:tcPr>
            <w:tcW w:w="2041" w:type="dxa"/>
            <w:tcBorders>
              <w:bottom w:val="single" w:sz="4" w:space="0" w:color="CFD7D8"/>
            </w:tcBorders>
            <w:vAlign w:val="center"/>
          </w:tcPr>
          <w:p w14:paraId="32CE8D3F" w14:textId="77777777" w:rsidR="003F3D5E" w:rsidRDefault="005D26F5">
            <w:pPr>
              <w:pStyle w:val="SourceTableBody"/>
              <w:keepNext/>
              <w:keepLines/>
            </w:pPr>
            <w:r>
              <w:t>Muffin</w:t>
            </w:r>
          </w:p>
        </w:tc>
        <w:tc>
          <w:tcPr>
            <w:tcW w:w="1134" w:type="dxa"/>
            <w:tcBorders>
              <w:bottom w:val="single" w:sz="4" w:space="0" w:color="CFD7D8"/>
            </w:tcBorders>
            <w:vAlign w:val="center"/>
          </w:tcPr>
          <w:p w14:paraId="390D71BE" w14:textId="77777777" w:rsidR="003F3D5E" w:rsidRDefault="005D26F5">
            <w:pPr>
              <w:pStyle w:val="SourceTableBody"/>
              <w:keepNext/>
              <w:keepLines/>
            </w:pPr>
            <w:r>
              <w:t>20.81</w:t>
            </w:r>
          </w:p>
        </w:tc>
        <w:tc>
          <w:tcPr>
            <w:tcW w:w="680" w:type="dxa"/>
            <w:tcBorders>
              <w:bottom w:val="single" w:sz="4" w:space="0" w:color="CFD7D8"/>
            </w:tcBorders>
            <w:vAlign w:val="center"/>
          </w:tcPr>
          <w:p w14:paraId="53D16748" w14:textId="77777777" w:rsidR="003F3D5E" w:rsidRDefault="005D26F5">
            <w:pPr>
              <w:pStyle w:val="SourceTableBody"/>
              <w:keepNext/>
              <w:keepLines/>
            </w:pPr>
            <w:r>
              <w:t>Y</w:t>
            </w:r>
          </w:p>
        </w:tc>
      </w:tr>
      <w:tr w:rsidR="003F3D5E" w14:paraId="7C004431" w14:textId="77777777">
        <w:trPr>
          <w:cantSplit/>
          <w:jc w:val="center"/>
        </w:trPr>
        <w:tc>
          <w:tcPr>
            <w:tcW w:w="567" w:type="dxa"/>
            <w:tcBorders>
              <w:bottom w:val="single" w:sz="4" w:space="0" w:color="CFD7D8"/>
            </w:tcBorders>
            <w:shd w:val="clear" w:color="auto" w:fill="F1F5F6"/>
            <w:vAlign w:val="center"/>
          </w:tcPr>
          <w:p w14:paraId="351CED92" w14:textId="77777777" w:rsidR="003F3D5E" w:rsidRDefault="005D26F5">
            <w:pPr>
              <w:pStyle w:val="SourceTableBody"/>
              <w:keepNext/>
              <w:keepLines/>
            </w:pPr>
            <w:r>
              <w:t>11</w:t>
            </w:r>
          </w:p>
        </w:tc>
        <w:tc>
          <w:tcPr>
            <w:tcW w:w="2041" w:type="dxa"/>
            <w:tcBorders>
              <w:bottom w:val="single" w:sz="4" w:space="0" w:color="CFD7D8"/>
            </w:tcBorders>
            <w:shd w:val="clear" w:color="auto" w:fill="F1F5F6"/>
            <w:vAlign w:val="center"/>
          </w:tcPr>
          <w:p w14:paraId="31D2C6FE" w14:textId="77777777" w:rsidR="003F3D5E" w:rsidRDefault="005D26F5">
            <w:pPr>
              <w:pStyle w:val="SourceTableBody"/>
              <w:keepNext/>
              <w:keepLines/>
            </w:pPr>
            <w:r>
              <w:t>Breakfast Cereal</w:t>
            </w:r>
          </w:p>
        </w:tc>
        <w:tc>
          <w:tcPr>
            <w:tcW w:w="1134" w:type="dxa"/>
            <w:tcBorders>
              <w:bottom w:val="single" w:sz="4" w:space="0" w:color="CFD7D8"/>
            </w:tcBorders>
            <w:shd w:val="clear" w:color="auto" w:fill="F1F5F6"/>
            <w:vAlign w:val="center"/>
          </w:tcPr>
          <w:p w14:paraId="7E28C6A7" w14:textId="77777777" w:rsidR="003F3D5E" w:rsidRDefault="005D26F5">
            <w:pPr>
              <w:pStyle w:val="SourceTableBody"/>
              <w:keepNext/>
              <w:keepLines/>
            </w:pPr>
            <w:r>
              <w:t>20.61</w:t>
            </w:r>
          </w:p>
        </w:tc>
        <w:tc>
          <w:tcPr>
            <w:tcW w:w="680" w:type="dxa"/>
            <w:tcBorders>
              <w:bottom w:val="single" w:sz="4" w:space="0" w:color="CFD7D8"/>
            </w:tcBorders>
            <w:shd w:val="clear" w:color="auto" w:fill="F1F5F6"/>
            <w:vAlign w:val="center"/>
          </w:tcPr>
          <w:p w14:paraId="7D59E056" w14:textId="77777777" w:rsidR="003F3D5E" w:rsidRDefault="005D26F5">
            <w:pPr>
              <w:pStyle w:val="SourceTableBody"/>
              <w:keepNext/>
              <w:keepLines/>
            </w:pPr>
            <w:r>
              <w:t>Y</w:t>
            </w:r>
          </w:p>
        </w:tc>
      </w:tr>
      <w:tr w:rsidR="003F3D5E" w14:paraId="0289E242" w14:textId="77777777">
        <w:trPr>
          <w:cantSplit/>
          <w:jc w:val="center"/>
        </w:trPr>
        <w:tc>
          <w:tcPr>
            <w:tcW w:w="567" w:type="dxa"/>
            <w:tcBorders>
              <w:bottom w:val="single" w:sz="4" w:space="0" w:color="CFD7D8"/>
            </w:tcBorders>
            <w:vAlign w:val="center"/>
          </w:tcPr>
          <w:p w14:paraId="3144FCDE" w14:textId="77777777" w:rsidR="003F3D5E" w:rsidRDefault="005D26F5">
            <w:pPr>
              <w:pStyle w:val="SourceTableBody"/>
              <w:keepNext/>
              <w:keepLines/>
            </w:pPr>
            <w:r>
              <w:t>12</w:t>
            </w:r>
          </w:p>
        </w:tc>
        <w:tc>
          <w:tcPr>
            <w:tcW w:w="2041" w:type="dxa"/>
            <w:tcBorders>
              <w:bottom w:val="single" w:sz="4" w:space="0" w:color="CFD7D8"/>
            </w:tcBorders>
            <w:vAlign w:val="center"/>
          </w:tcPr>
          <w:p w14:paraId="3EA5AE3C" w14:textId="77777777" w:rsidR="003F3D5E" w:rsidRDefault="005D26F5">
            <w:pPr>
              <w:pStyle w:val="SourceTableBody"/>
              <w:keepNext/>
              <w:keepLines/>
            </w:pPr>
            <w:r>
              <w:t>Gummy Candy</w:t>
            </w:r>
          </w:p>
        </w:tc>
        <w:tc>
          <w:tcPr>
            <w:tcW w:w="1134" w:type="dxa"/>
            <w:tcBorders>
              <w:bottom w:val="single" w:sz="4" w:space="0" w:color="CFD7D8"/>
            </w:tcBorders>
            <w:vAlign w:val="center"/>
          </w:tcPr>
          <w:p w14:paraId="751A089D" w14:textId="77777777" w:rsidR="003F3D5E" w:rsidRDefault="005D26F5">
            <w:pPr>
              <w:pStyle w:val="SourceTableBody"/>
              <w:keepNext/>
              <w:keepLines/>
            </w:pPr>
            <w:r>
              <w:t>20.58</w:t>
            </w:r>
          </w:p>
        </w:tc>
        <w:tc>
          <w:tcPr>
            <w:tcW w:w="680" w:type="dxa"/>
            <w:tcBorders>
              <w:bottom w:val="single" w:sz="4" w:space="0" w:color="CFD7D8"/>
            </w:tcBorders>
            <w:vAlign w:val="center"/>
          </w:tcPr>
          <w:p w14:paraId="02C9608E" w14:textId="77777777" w:rsidR="003F3D5E" w:rsidRDefault="005D26F5">
            <w:pPr>
              <w:pStyle w:val="SourceTableBody"/>
              <w:keepNext/>
              <w:keepLines/>
            </w:pPr>
            <w:r>
              <w:t>Y</w:t>
            </w:r>
          </w:p>
        </w:tc>
      </w:tr>
      <w:tr w:rsidR="003F3D5E" w14:paraId="6343A2FF" w14:textId="77777777">
        <w:trPr>
          <w:cantSplit/>
          <w:jc w:val="center"/>
        </w:trPr>
        <w:tc>
          <w:tcPr>
            <w:tcW w:w="567" w:type="dxa"/>
            <w:tcBorders>
              <w:bottom w:val="single" w:sz="4" w:space="0" w:color="CFD7D8"/>
            </w:tcBorders>
            <w:shd w:val="clear" w:color="auto" w:fill="F1F5F6"/>
            <w:vAlign w:val="center"/>
          </w:tcPr>
          <w:p w14:paraId="7EB9BA11" w14:textId="77777777" w:rsidR="003F3D5E" w:rsidRDefault="005D26F5">
            <w:pPr>
              <w:pStyle w:val="SourceTableBody"/>
              <w:keepNext/>
              <w:keepLines/>
            </w:pPr>
            <w:r>
              <w:t>13</w:t>
            </w:r>
          </w:p>
        </w:tc>
        <w:tc>
          <w:tcPr>
            <w:tcW w:w="2041" w:type="dxa"/>
            <w:tcBorders>
              <w:bottom w:val="single" w:sz="4" w:space="0" w:color="CFD7D8"/>
            </w:tcBorders>
            <w:shd w:val="clear" w:color="auto" w:fill="F1F5F6"/>
            <w:vAlign w:val="center"/>
          </w:tcPr>
          <w:p w14:paraId="362428F0" w14:textId="77777777" w:rsidR="003F3D5E" w:rsidRDefault="005D26F5">
            <w:pPr>
              <w:pStyle w:val="SourceTableBody"/>
              <w:keepNext/>
              <w:keepLines/>
            </w:pPr>
            <w:r>
              <w:t>Fried Chicken</w:t>
            </w:r>
          </w:p>
        </w:tc>
        <w:tc>
          <w:tcPr>
            <w:tcW w:w="1134" w:type="dxa"/>
            <w:tcBorders>
              <w:bottom w:val="single" w:sz="4" w:space="0" w:color="CFD7D8"/>
            </w:tcBorders>
            <w:shd w:val="clear" w:color="auto" w:fill="F1F5F6"/>
            <w:vAlign w:val="center"/>
          </w:tcPr>
          <w:p w14:paraId="244360D2" w14:textId="77777777" w:rsidR="003F3D5E" w:rsidRDefault="005D26F5">
            <w:pPr>
              <w:pStyle w:val="SourceTableBody"/>
              <w:keepNext/>
              <w:keepLines/>
            </w:pPr>
            <w:r>
              <w:t>20.18</w:t>
            </w:r>
          </w:p>
        </w:tc>
        <w:tc>
          <w:tcPr>
            <w:tcW w:w="680" w:type="dxa"/>
            <w:tcBorders>
              <w:bottom w:val="single" w:sz="4" w:space="0" w:color="CFD7D8"/>
            </w:tcBorders>
            <w:shd w:val="clear" w:color="auto" w:fill="F1F5F6"/>
            <w:vAlign w:val="center"/>
          </w:tcPr>
          <w:p w14:paraId="47E625C4" w14:textId="77777777" w:rsidR="003F3D5E" w:rsidRDefault="005D26F5">
            <w:pPr>
              <w:pStyle w:val="SourceTableBody"/>
              <w:keepNext/>
              <w:keepLines/>
            </w:pPr>
            <w:r>
              <w:t>Y</w:t>
            </w:r>
          </w:p>
        </w:tc>
      </w:tr>
      <w:tr w:rsidR="003F3D5E" w14:paraId="3CCDE3FC" w14:textId="77777777">
        <w:trPr>
          <w:cantSplit/>
          <w:jc w:val="center"/>
        </w:trPr>
        <w:tc>
          <w:tcPr>
            <w:tcW w:w="567" w:type="dxa"/>
            <w:tcBorders>
              <w:bottom w:val="single" w:sz="4" w:space="0" w:color="CFD7D8"/>
            </w:tcBorders>
            <w:vAlign w:val="center"/>
          </w:tcPr>
          <w:p w14:paraId="34D105D3" w14:textId="77777777" w:rsidR="003F3D5E" w:rsidRDefault="005D26F5">
            <w:pPr>
              <w:pStyle w:val="SourceTableBody"/>
              <w:keepNext/>
              <w:keepLines/>
            </w:pPr>
            <w:r>
              <w:t>14</w:t>
            </w:r>
          </w:p>
        </w:tc>
        <w:tc>
          <w:tcPr>
            <w:tcW w:w="2041" w:type="dxa"/>
            <w:tcBorders>
              <w:bottom w:val="single" w:sz="4" w:space="0" w:color="CFD7D8"/>
            </w:tcBorders>
            <w:vAlign w:val="center"/>
          </w:tcPr>
          <w:p w14:paraId="51D94CCA" w14:textId="77777777" w:rsidR="003F3D5E" w:rsidRDefault="005D26F5">
            <w:pPr>
              <w:pStyle w:val="SourceTableBody"/>
              <w:keepNext/>
              <w:keepLines/>
            </w:pPr>
            <w:r>
              <w:t>Soda (Not Diet)</w:t>
            </w:r>
          </w:p>
        </w:tc>
        <w:tc>
          <w:tcPr>
            <w:tcW w:w="1134" w:type="dxa"/>
            <w:tcBorders>
              <w:bottom w:val="single" w:sz="4" w:space="0" w:color="CFD7D8"/>
            </w:tcBorders>
            <w:vAlign w:val="center"/>
          </w:tcPr>
          <w:p w14:paraId="1863B2C2" w14:textId="77777777" w:rsidR="003F3D5E" w:rsidRDefault="005D26F5">
            <w:pPr>
              <w:pStyle w:val="SourceTableBody"/>
              <w:keepNext/>
              <w:keepLines/>
            </w:pPr>
            <w:r>
              <w:t>20.07</w:t>
            </w:r>
          </w:p>
        </w:tc>
        <w:tc>
          <w:tcPr>
            <w:tcW w:w="680" w:type="dxa"/>
            <w:tcBorders>
              <w:bottom w:val="single" w:sz="4" w:space="0" w:color="CFD7D8"/>
            </w:tcBorders>
            <w:vAlign w:val="center"/>
          </w:tcPr>
          <w:p w14:paraId="43CD79FE" w14:textId="77777777" w:rsidR="003F3D5E" w:rsidRDefault="005D26F5">
            <w:pPr>
              <w:pStyle w:val="SourceTableBody"/>
              <w:keepNext/>
              <w:keepLines/>
            </w:pPr>
            <w:r>
              <w:t>Y</w:t>
            </w:r>
          </w:p>
        </w:tc>
      </w:tr>
      <w:tr w:rsidR="003F3D5E" w14:paraId="3C79CBC6" w14:textId="77777777">
        <w:trPr>
          <w:cantSplit/>
          <w:jc w:val="center"/>
        </w:trPr>
        <w:tc>
          <w:tcPr>
            <w:tcW w:w="567" w:type="dxa"/>
            <w:tcBorders>
              <w:bottom w:val="single" w:sz="4" w:space="0" w:color="CFD7D8"/>
            </w:tcBorders>
            <w:shd w:val="clear" w:color="auto" w:fill="F1F5F6"/>
            <w:vAlign w:val="center"/>
          </w:tcPr>
          <w:p w14:paraId="41B004CD" w14:textId="77777777" w:rsidR="003F3D5E" w:rsidRDefault="005D26F5">
            <w:pPr>
              <w:pStyle w:val="SourceTableBody"/>
              <w:keepNext/>
              <w:keepLines/>
            </w:pPr>
            <w:r>
              <w:t>15</w:t>
            </w:r>
          </w:p>
        </w:tc>
        <w:tc>
          <w:tcPr>
            <w:tcW w:w="2041" w:type="dxa"/>
            <w:tcBorders>
              <w:bottom w:val="single" w:sz="4" w:space="0" w:color="CFD7D8"/>
            </w:tcBorders>
            <w:shd w:val="clear" w:color="auto" w:fill="F1F5F6"/>
            <w:vAlign w:val="center"/>
          </w:tcPr>
          <w:p w14:paraId="18B5068A" w14:textId="77777777" w:rsidR="003F3D5E" w:rsidRDefault="005D26F5">
            <w:pPr>
              <w:pStyle w:val="SourceTableBody"/>
              <w:keepNext/>
              <w:keepLines/>
            </w:pPr>
            <w:r>
              <w:t>Rolls (Plain)</w:t>
            </w:r>
          </w:p>
        </w:tc>
        <w:tc>
          <w:tcPr>
            <w:tcW w:w="1134" w:type="dxa"/>
            <w:tcBorders>
              <w:bottom w:val="single" w:sz="4" w:space="0" w:color="CFD7D8"/>
            </w:tcBorders>
            <w:shd w:val="clear" w:color="auto" w:fill="F1F5F6"/>
            <w:vAlign w:val="center"/>
          </w:tcPr>
          <w:p w14:paraId="73C89C58" w14:textId="77777777" w:rsidR="003F3D5E" w:rsidRDefault="005D26F5">
            <w:pPr>
              <w:pStyle w:val="SourceTableBody"/>
              <w:keepNext/>
              <w:keepLines/>
            </w:pPr>
            <w:r>
              <w:t>20.01</w:t>
            </w:r>
          </w:p>
        </w:tc>
        <w:tc>
          <w:tcPr>
            <w:tcW w:w="680" w:type="dxa"/>
            <w:tcBorders>
              <w:bottom w:val="single" w:sz="4" w:space="0" w:color="CFD7D8"/>
            </w:tcBorders>
            <w:shd w:val="clear" w:color="auto" w:fill="F1F5F6"/>
            <w:vAlign w:val="center"/>
          </w:tcPr>
          <w:p w14:paraId="7222CF5B" w14:textId="77777777" w:rsidR="003F3D5E" w:rsidRDefault="005D26F5">
            <w:pPr>
              <w:pStyle w:val="SourceTableBody"/>
              <w:keepNext/>
              <w:keepLines/>
            </w:pPr>
            <w:r>
              <w:t>Y</w:t>
            </w:r>
          </w:p>
        </w:tc>
      </w:tr>
      <w:tr w:rsidR="003F3D5E" w14:paraId="66BEC57F" w14:textId="77777777">
        <w:trPr>
          <w:cantSplit/>
          <w:jc w:val="center"/>
        </w:trPr>
        <w:tc>
          <w:tcPr>
            <w:tcW w:w="567" w:type="dxa"/>
            <w:tcBorders>
              <w:bottom w:val="single" w:sz="4" w:space="0" w:color="CFD7D8"/>
            </w:tcBorders>
            <w:vAlign w:val="center"/>
          </w:tcPr>
          <w:p w14:paraId="278B2C32" w14:textId="77777777" w:rsidR="003F3D5E" w:rsidRDefault="005D26F5">
            <w:pPr>
              <w:pStyle w:val="SourceTableBody"/>
              <w:keepLines/>
            </w:pPr>
            <w:r>
              <w:rPr>
                <w:b/>
              </w:rPr>
              <w:t>16</w:t>
            </w:r>
          </w:p>
        </w:tc>
        <w:tc>
          <w:tcPr>
            <w:tcW w:w="2041" w:type="dxa"/>
            <w:tcBorders>
              <w:bottom w:val="single" w:sz="4" w:space="0" w:color="CFD7D8"/>
            </w:tcBorders>
            <w:vAlign w:val="center"/>
          </w:tcPr>
          <w:p w14:paraId="212B35A9" w14:textId="77777777" w:rsidR="003F3D5E" w:rsidRDefault="005D26F5">
            <w:pPr>
              <w:pStyle w:val="SourceTableBody"/>
              <w:keepLines/>
            </w:pPr>
            <w:r>
              <w:rPr>
                <w:b/>
              </w:rPr>
              <w:t>Cheese</w:t>
            </w:r>
          </w:p>
        </w:tc>
        <w:tc>
          <w:tcPr>
            <w:tcW w:w="1134" w:type="dxa"/>
            <w:tcBorders>
              <w:bottom w:val="single" w:sz="4" w:space="0" w:color="CFD7D8"/>
            </w:tcBorders>
            <w:vAlign w:val="center"/>
          </w:tcPr>
          <w:p w14:paraId="11B6506A" w14:textId="77777777" w:rsidR="003F3D5E" w:rsidRDefault="005D26F5">
            <w:pPr>
              <w:pStyle w:val="SourceTableBody"/>
              <w:keepLines/>
            </w:pPr>
            <w:r>
              <w:rPr>
                <w:b/>
              </w:rPr>
              <w:t>19.36</w:t>
            </w:r>
          </w:p>
        </w:tc>
        <w:tc>
          <w:tcPr>
            <w:tcW w:w="680" w:type="dxa"/>
            <w:tcBorders>
              <w:bottom w:val="single" w:sz="4" w:space="0" w:color="CFD7D8"/>
            </w:tcBorders>
            <w:vAlign w:val="center"/>
          </w:tcPr>
          <w:p w14:paraId="1A37B8F1" w14:textId="77777777" w:rsidR="003F3D5E" w:rsidRDefault="005D26F5">
            <w:pPr>
              <w:pStyle w:val="SourceTableBody"/>
              <w:keepLines/>
            </w:pPr>
            <w:r>
              <w:rPr>
                <w:b/>
              </w:rPr>
              <w:t>N</w:t>
            </w:r>
          </w:p>
        </w:tc>
      </w:tr>
    </w:tbl>
    <w:p w14:paraId="3FAB9212" w14:textId="5E4B5F0B" w:rsidR="003F3D5E" w:rsidRDefault="005D26F5">
      <w:pPr>
        <w:pStyle w:val="ArticleCaption"/>
        <w:keepNext/>
        <w:spacing w:before="200" w:after="80"/>
      </w:pPr>
      <w:r>
        <w:rPr>
          <w:b/>
        </w:rPr>
        <w:t xml:space="preserve">Figure 3. Mean problem ratings in Study 2: pizza ranked first (4.01/7) and cheese tenth (3.22/7) </w:t>
      </w:r>
    </w:p>
    <w:tbl>
      <w:tblPr>
        <w:tblW w:w="0" w:type="auto"/>
        <w:jc w:val="center"/>
        <w:tblLayout w:type="fixed"/>
        <w:tblLook w:val="04A0" w:firstRow="1" w:lastRow="0" w:firstColumn="1" w:lastColumn="0" w:noHBand="0" w:noVBand="1"/>
      </w:tblPr>
      <w:tblGrid>
        <w:gridCol w:w="567"/>
        <w:gridCol w:w="2041"/>
        <w:gridCol w:w="1134"/>
        <w:gridCol w:w="680"/>
      </w:tblGrid>
      <w:tr w:rsidR="003F3D5E" w14:paraId="353774A0" w14:textId="77777777">
        <w:trPr>
          <w:tblHeader/>
          <w:jc w:val="center"/>
        </w:trPr>
        <w:tc>
          <w:tcPr>
            <w:tcW w:w="567" w:type="dxa"/>
            <w:tcBorders>
              <w:bottom w:val="single" w:sz="4" w:space="0" w:color="CFD7D8"/>
            </w:tcBorders>
            <w:shd w:val="clear" w:color="auto" w:fill="DBE7EB"/>
            <w:vAlign w:val="center"/>
          </w:tcPr>
          <w:p w14:paraId="340F9CD3" w14:textId="77777777" w:rsidR="003F3D5E" w:rsidRDefault="005D26F5">
            <w:pPr>
              <w:pStyle w:val="SourceTableHeader"/>
              <w:keepLines/>
            </w:pPr>
            <w:r>
              <w:t>Rank</w:t>
            </w:r>
          </w:p>
        </w:tc>
        <w:tc>
          <w:tcPr>
            <w:tcW w:w="2041" w:type="dxa"/>
            <w:tcBorders>
              <w:bottom w:val="single" w:sz="4" w:space="0" w:color="CFD7D8"/>
            </w:tcBorders>
            <w:shd w:val="clear" w:color="auto" w:fill="DBE7EB"/>
            <w:vAlign w:val="center"/>
          </w:tcPr>
          <w:p w14:paraId="56000DC9" w14:textId="77777777" w:rsidR="003F3D5E" w:rsidRDefault="005D26F5">
            <w:pPr>
              <w:pStyle w:val="SourceTableHeader"/>
              <w:keepLines/>
            </w:pPr>
            <w:r>
              <w:t>Food</w:t>
            </w:r>
          </w:p>
        </w:tc>
        <w:tc>
          <w:tcPr>
            <w:tcW w:w="1134" w:type="dxa"/>
            <w:tcBorders>
              <w:bottom w:val="single" w:sz="4" w:space="0" w:color="CFD7D8"/>
            </w:tcBorders>
            <w:shd w:val="clear" w:color="auto" w:fill="DBE7EB"/>
            <w:vAlign w:val="center"/>
          </w:tcPr>
          <w:p w14:paraId="5B1DCEA1" w14:textId="77777777" w:rsidR="003F3D5E" w:rsidRDefault="005D26F5">
            <w:pPr>
              <w:pStyle w:val="SourceTableHeader"/>
              <w:keepLines/>
            </w:pPr>
            <w:r>
              <w:t>Mean</w:t>
            </w:r>
          </w:p>
        </w:tc>
        <w:tc>
          <w:tcPr>
            <w:tcW w:w="680" w:type="dxa"/>
            <w:tcBorders>
              <w:bottom w:val="single" w:sz="4" w:space="0" w:color="CFD7D8"/>
            </w:tcBorders>
            <w:shd w:val="clear" w:color="auto" w:fill="DBE7EB"/>
            <w:vAlign w:val="center"/>
          </w:tcPr>
          <w:p w14:paraId="218CE4EF" w14:textId="77777777" w:rsidR="003F3D5E" w:rsidRDefault="005D26F5">
            <w:pPr>
              <w:pStyle w:val="SourceTableHeader"/>
              <w:keepLines/>
            </w:pPr>
            <w:r>
              <w:t>Proc.</w:t>
            </w:r>
          </w:p>
        </w:tc>
      </w:tr>
      <w:tr w:rsidR="003F3D5E" w14:paraId="3EC60AED" w14:textId="77777777">
        <w:trPr>
          <w:cantSplit/>
          <w:jc w:val="center"/>
        </w:trPr>
        <w:tc>
          <w:tcPr>
            <w:tcW w:w="567" w:type="dxa"/>
            <w:tcBorders>
              <w:bottom w:val="single" w:sz="4" w:space="0" w:color="CFD7D8"/>
            </w:tcBorders>
            <w:shd w:val="clear" w:color="auto" w:fill="F1F5F6"/>
            <w:vAlign w:val="center"/>
          </w:tcPr>
          <w:p w14:paraId="2B81E2C3" w14:textId="77777777" w:rsidR="003F3D5E" w:rsidRDefault="005D26F5">
            <w:pPr>
              <w:pStyle w:val="SourceTableBody"/>
              <w:keepNext/>
              <w:keepLines/>
            </w:pPr>
            <w:r>
              <w:rPr>
                <w:b/>
              </w:rPr>
              <w:lastRenderedPageBreak/>
              <w:t>1</w:t>
            </w:r>
          </w:p>
        </w:tc>
        <w:tc>
          <w:tcPr>
            <w:tcW w:w="2041" w:type="dxa"/>
            <w:tcBorders>
              <w:bottom w:val="single" w:sz="4" w:space="0" w:color="CFD7D8"/>
            </w:tcBorders>
            <w:shd w:val="clear" w:color="auto" w:fill="F1F5F6"/>
            <w:vAlign w:val="center"/>
          </w:tcPr>
          <w:p w14:paraId="30E51501" w14:textId="77777777" w:rsidR="003F3D5E" w:rsidRDefault="005D26F5">
            <w:pPr>
              <w:pStyle w:val="SourceTableBody"/>
              <w:keepNext/>
              <w:keepLines/>
            </w:pPr>
            <w:r>
              <w:rPr>
                <w:b/>
              </w:rPr>
              <w:t>Pizza</w:t>
            </w:r>
          </w:p>
        </w:tc>
        <w:tc>
          <w:tcPr>
            <w:tcW w:w="1134" w:type="dxa"/>
            <w:tcBorders>
              <w:bottom w:val="single" w:sz="4" w:space="0" w:color="CFD7D8"/>
            </w:tcBorders>
            <w:shd w:val="clear" w:color="auto" w:fill="F1F5F6"/>
            <w:vAlign w:val="center"/>
          </w:tcPr>
          <w:p w14:paraId="5F6389C0" w14:textId="77777777" w:rsidR="003F3D5E" w:rsidRDefault="005D26F5">
            <w:pPr>
              <w:pStyle w:val="SourceTableBody"/>
              <w:keepNext/>
              <w:keepLines/>
            </w:pPr>
            <w:r>
              <w:rPr>
                <w:b/>
              </w:rPr>
              <w:t>4.01</w:t>
            </w:r>
          </w:p>
        </w:tc>
        <w:tc>
          <w:tcPr>
            <w:tcW w:w="680" w:type="dxa"/>
            <w:tcBorders>
              <w:bottom w:val="single" w:sz="4" w:space="0" w:color="CFD7D8"/>
            </w:tcBorders>
            <w:shd w:val="clear" w:color="auto" w:fill="F1F5F6"/>
            <w:vAlign w:val="center"/>
          </w:tcPr>
          <w:p w14:paraId="08A8620C" w14:textId="77777777" w:rsidR="003F3D5E" w:rsidRDefault="005D26F5">
            <w:pPr>
              <w:pStyle w:val="SourceTableBody"/>
              <w:keepNext/>
              <w:keepLines/>
            </w:pPr>
            <w:r>
              <w:rPr>
                <w:b/>
              </w:rPr>
              <w:t>Y</w:t>
            </w:r>
          </w:p>
        </w:tc>
      </w:tr>
      <w:tr w:rsidR="003F3D5E" w14:paraId="13B105BE" w14:textId="77777777">
        <w:trPr>
          <w:cantSplit/>
          <w:jc w:val="center"/>
        </w:trPr>
        <w:tc>
          <w:tcPr>
            <w:tcW w:w="567" w:type="dxa"/>
            <w:tcBorders>
              <w:bottom w:val="single" w:sz="4" w:space="0" w:color="CFD7D8"/>
            </w:tcBorders>
            <w:vAlign w:val="center"/>
          </w:tcPr>
          <w:p w14:paraId="4E9DF226" w14:textId="77777777" w:rsidR="003F3D5E" w:rsidRDefault="005D26F5">
            <w:pPr>
              <w:pStyle w:val="SourceTableBody"/>
              <w:keepNext/>
              <w:keepLines/>
            </w:pPr>
            <w:r>
              <w:t>2</w:t>
            </w:r>
          </w:p>
        </w:tc>
        <w:tc>
          <w:tcPr>
            <w:tcW w:w="2041" w:type="dxa"/>
            <w:tcBorders>
              <w:bottom w:val="single" w:sz="4" w:space="0" w:color="CFD7D8"/>
            </w:tcBorders>
            <w:vAlign w:val="center"/>
          </w:tcPr>
          <w:p w14:paraId="1C5F83A8" w14:textId="77777777" w:rsidR="003F3D5E" w:rsidRDefault="005D26F5">
            <w:pPr>
              <w:pStyle w:val="SourceTableBody"/>
              <w:keepNext/>
              <w:keepLines/>
            </w:pPr>
            <w:r>
              <w:t>Chocolate</w:t>
            </w:r>
          </w:p>
        </w:tc>
        <w:tc>
          <w:tcPr>
            <w:tcW w:w="1134" w:type="dxa"/>
            <w:tcBorders>
              <w:bottom w:val="single" w:sz="4" w:space="0" w:color="CFD7D8"/>
            </w:tcBorders>
            <w:vAlign w:val="center"/>
          </w:tcPr>
          <w:p w14:paraId="174A946F" w14:textId="77777777" w:rsidR="003F3D5E" w:rsidRDefault="005D26F5">
            <w:pPr>
              <w:pStyle w:val="SourceTableBody"/>
              <w:keepNext/>
              <w:keepLines/>
            </w:pPr>
            <w:r>
              <w:t>3.73</w:t>
            </w:r>
          </w:p>
        </w:tc>
        <w:tc>
          <w:tcPr>
            <w:tcW w:w="680" w:type="dxa"/>
            <w:tcBorders>
              <w:bottom w:val="single" w:sz="4" w:space="0" w:color="CFD7D8"/>
            </w:tcBorders>
            <w:vAlign w:val="center"/>
          </w:tcPr>
          <w:p w14:paraId="232D15FB" w14:textId="77777777" w:rsidR="003F3D5E" w:rsidRDefault="005D26F5">
            <w:pPr>
              <w:pStyle w:val="SourceTableBody"/>
              <w:keepNext/>
              <w:keepLines/>
            </w:pPr>
            <w:r>
              <w:t>Y</w:t>
            </w:r>
          </w:p>
        </w:tc>
      </w:tr>
      <w:tr w:rsidR="003F3D5E" w14:paraId="7E8FD562" w14:textId="77777777">
        <w:trPr>
          <w:cantSplit/>
          <w:jc w:val="center"/>
        </w:trPr>
        <w:tc>
          <w:tcPr>
            <w:tcW w:w="567" w:type="dxa"/>
            <w:tcBorders>
              <w:bottom w:val="single" w:sz="4" w:space="0" w:color="CFD7D8"/>
            </w:tcBorders>
            <w:shd w:val="clear" w:color="auto" w:fill="F1F5F6"/>
            <w:vAlign w:val="center"/>
          </w:tcPr>
          <w:p w14:paraId="09360F69" w14:textId="77777777" w:rsidR="003F3D5E" w:rsidRDefault="005D26F5">
            <w:pPr>
              <w:pStyle w:val="SourceTableBody"/>
              <w:keepNext/>
              <w:keepLines/>
            </w:pPr>
            <w:r>
              <w:t>2</w:t>
            </w:r>
          </w:p>
        </w:tc>
        <w:tc>
          <w:tcPr>
            <w:tcW w:w="2041" w:type="dxa"/>
            <w:tcBorders>
              <w:bottom w:val="single" w:sz="4" w:space="0" w:color="CFD7D8"/>
            </w:tcBorders>
            <w:shd w:val="clear" w:color="auto" w:fill="F1F5F6"/>
            <w:vAlign w:val="center"/>
          </w:tcPr>
          <w:p w14:paraId="79F9EA42" w14:textId="77777777" w:rsidR="003F3D5E" w:rsidRDefault="005D26F5">
            <w:pPr>
              <w:pStyle w:val="SourceTableBody"/>
              <w:keepNext/>
              <w:keepLines/>
            </w:pPr>
            <w:r>
              <w:t>Chips</w:t>
            </w:r>
          </w:p>
        </w:tc>
        <w:tc>
          <w:tcPr>
            <w:tcW w:w="1134" w:type="dxa"/>
            <w:tcBorders>
              <w:bottom w:val="single" w:sz="4" w:space="0" w:color="CFD7D8"/>
            </w:tcBorders>
            <w:shd w:val="clear" w:color="auto" w:fill="F1F5F6"/>
            <w:vAlign w:val="center"/>
          </w:tcPr>
          <w:p w14:paraId="039CF23F" w14:textId="77777777" w:rsidR="003F3D5E" w:rsidRDefault="005D26F5">
            <w:pPr>
              <w:pStyle w:val="SourceTableBody"/>
              <w:keepNext/>
              <w:keepLines/>
            </w:pPr>
            <w:r>
              <w:t>3.73</w:t>
            </w:r>
          </w:p>
        </w:tc>
        <w:tc>
          <w:tcPr>
            <w:tcW w:w="680" w:type="dxa"/>
            <w:tcBorders>
              <w:bottom w:val="single" w:sz="4" w:space="0" w:color="CFD7D8"/>
            </w:tcBorders>
            <w:shd w:val="clear" w:color="auto" w:fill="F1F5F6"/>
            <w:vAlign w:val="center"/>
          </w:tcPr>
          <w:p w14:paraId="37060F90" w14:textId="77777777" w:rsidR="003F3D5E" w:rsidRDefault="005D26F5">
            <w:pPr>
              <w:pStyle w:val="SourceTableBody"/>
              <w:keepNext/>
              <w:keepLines/>
            </w:pPr>
            <w:r>
              <w:t>Y</w:t>
            </w:r>
          </w:p>
        </w:tc>
      </w:tr>
      <w:tr w:rsidR="003F3D5E" w14:paraId="2C45BBE5" w14:textId="77777777">
        <w:trPr>
          <w:cantSplit/>
          <w:jc w:val="center"/>
        </w:trPr>
        <w:tc>
          <w:tcPr>
            <w:tcW w:w="567" w:type="dxa"/>
            <w:tcBorders>
              <w:bottom w:val="single" w:sz="4" w:space="0" w:color="CFD7D8"/>
            </w:tcBorders>
            <w:vAlign w:val="center"/>
          </w:tcPr>
          <w:p w14:paraId="6EFA1B24" w14:textId="77777777" w:rsidR="003F3D5E" w:rsidRDefault="005D26F5">
            <w:pPr>
              <w:pStyle w:val="SourceTableBody"/>
              <w:keepNext/>
              <w:keepLines/>
            </w:pPr>
            <w:r>
              <w:t>4</w:t>
            </w:r>
          </w:p>
        </w:tc>
        <w:tc>
          <w:tcPr>
            <w:tcW w:w="2041" w:type="dxa"/>
            <w:tcBorders>
              <w:bottom w:val="single" w:sz="4" w:space="0" w:color="CFD7D8"/>
            </w:tcBorders>
            <w:vAlign w:val="center"/>
          </w:tcPr>
          <w:p w14:paraId="0BF02EBD" w14:textId="77777777" w:rsidR="003F3D5E" w:rsidRDefault="005D26F5">
            <w:pPr>
              <w:pStyle w:val="SourceTableBody"/>
              <w:keepNext/>
              <w:keepLines/>
            </w:pPr>
            <w:r>
              <w:t>Cookie</w:t>
            </w:r>
          </w:p>
        </w:tc>
        <w:tc>
          <w:tcPr>
            <w:tcW w:w="1134" w:type="dxa"/>
            <w:tcBorders>
              <w:bottom w:val="single" w:sz="4" w:space="0" w:color="CFD7D8"/>
            </w:tcBorders>
            <w:vAlign w:val="center"/>
          </w:tcPr>
          <w:p w14:paraId="183DC97A" w14:textId="77777777" w:rsidR="003F3D5E" w:rsidRDefault="005D26F5">
            <w:pPr>
              <w:pStyle w:val="SourceTableBody"/>
              <w:keepNext/>
              <w:keepLines/>
            </w:pPr>
            <w:r>
              <w:t>3.71</w:t>
            </w:r>
          </w:p>
        </w:tc>
        <w:tc>
          <w:tcPr>
            <w:tcW w:w="680" w:type="dxa"/>
            <w:tcBorders>
              <w:bottom w:val="single" w:sz="4" w:space="0" w:color="CFD7D8"/>
            </w:tcBorders>
            <w:vAlign w:val="center"/>
          </w:tcPr>
          <w:p w14:paraId="1567055F" w14:textId="77777777" w:rsidR="003F3D5E" w:rsidRDefault="005D26F5">
            <w:pPr>
              <w:pStyle w:val="SourceTableBody"/>
              <w:keepNext/>
              <w:keepLines/>
            </w:pPr>
            <w:r>
              <w:t>Y</w:t>
            </w:r>
          </w:p>
        </w:tc>
      </w:tr>
      <w:tr w:rsidR="003F3D5E" w14:paraId="4175A597" w14:textId="77777777">
        <w:trPr>
          <w:cantSplit/>
          <w:jc w:val="center"/>
        </w:trPr>
        <w:tc>
          <w:tcPr>
            <w:tcW w:w="567" w:type="dxa"/>
            <w:tcBorders>
              <w:bottom w:val="single" w:sz="4" w:space="0" w:color="CFD7D8"/>
            </w:tcBorders>
            <w:shd w:val="clear" w:color="auto" w:fill="F1F5F6"/>
            <w:vAlign w:val="center"/>
          </w:tcPr>
          <w:p w14:paraId="0A460461" w14:textId="77777777" w:rsidR="003F3D5E" w:rsidRDefault="005D26F5">
            <w:pPr>
              <w:pStyle w:val="SourceTableBody"/>
              <w:keepNext/>
              <w:keepLines/>
            </w:pPr>
            <w:r>
              <w:t>5</w:t>
            </w:r>
          </w:p>
        </w:tc>
        <w:tc>
          <w:tcPr>
            <w:tcW w:w="2041" w:type="dxa"/>
            <w:tcBorders>
              <w:bottom w:val="single" w:sz="4" w:space="0" w:color="CFD7D8"/>
            </w:tcBorders>
            <w:shd w:val="clear" w:color="auto" w:fill="F1F5F6"/>
            <w:vAlign w:val="center"/>
          </w:tcPr>
          <w:p w14:paraId="3B22BBF4" w14:textId="77777777" w:rsidR="003F3D5E" w:rsidRDefault="005D26F5">
            <w:pPr>
              <w:pStyle w:val="SourceTableBody"/>
              <w:keepNext/>
              <w:keepLines/>
            </w:pPr>
            <w:r>
              <w:t>Ice Cream</w:t>
            </w:r>
          </w:p>
        </w:tc>
        <w:tc>
          <w:tcPr>
            <w:tcW w:w="1134" w:type="dxa"/>
            <w:tcBorders>
              <w:bottom w:val="single" w:sz="4" w:space="0" w:color="CFD7D8"/>
            </w:tcBorders>
            <w:shd w:val="clear" w:color="auto" w:fill="F1F5F6"/>
            <w:vAlign w:val="center"/>
          </w:tcPr>
          <w:p w14:paraId="3E915AC1" w14:textId="77777777" w:rsidR="003F3D5E" w:rsidRDefault="005D26F5">
            <w:pPr>
              <w:pStyle w:val="SourceTableBody"/>
              <w:keepNext/>
              <w:keepLines/>
            </w:pPr>
            <w:r>
              <w:t>3.68</w:t>
            </w:r>
          </w:p>
        </w:tc>
        <w:tc>
          <w:tcPr>
            <w:tcW w:w="680" w:type="dxa"/>
            <w:tcBorders>
              <w:bottom w:val="single" w:sz="4" w:space="0" w:color="CFD7D8"/>
            </w:tcBorders>
            <w:shd w:val="clear" w:color="auto" w:fill="F1F5F6"/>
            <w:vAlign w:val="center"/>
          </w:tcPr>
          <w:p w14:paraId="69537328" w14:textId="77777777" w:rsidR="003F3D5E" w:rsidRDefault="005D26F5">
            <w:pPr>
              <w:pStyle w:val="SourceTableBody"/>
              <w:keepNext/>
              <w:keepLines/>
            </w:pPr>
            <w:r>
              <w:t>Y</w:t>
            </w:r>
          </w:p>
        </w:tc>
      </w:tr>
      <w:tr w:rsidR="003F3D5E" w14:paraId="4303F530" w14:textId="77777777">
        <w:trPr>
          <w:cantSplit/>
          <w:jc w:val="center"/>
        </w:trPr>
        <w:tc>
          <w:tcPr>
            <w:tcW w:w="567" w:type="dxa"/>
            <w:tcBorders>
              <w:bottom w:val="single" w:sz="4" w:space="0" w:color="CFD7D8"/>
            </w:tcBorders>
            <w:vAlign w:val="center"/>
          </w:tcPr>
          <w:p w14:paraId="595E6673" w14:textId="77777777" w:rsidR="003F3D5E" w:rsidRDefault="005D26F5">
            <w:pPr>
              <w:pStyle w:val="SourceTableBody"/>
              <w:keepNext/>
              <w:keepLines/>
            </w:pPr>
            <w:r>
              <w:t>6</w:t>
            </w:r>
          </w:p>
        </w:tc>
        <w:tc>
          <w:tcPr>
            <w:tcW w:w="2041" w:type="dxa"/>
            <w:tcBorders>
              <w:bottom w:val="single" w:sz="4" w:space="0" w:color="CFD7D8"/>
            </w:tcBorders>
            <w:vAlign w:val="center"/>
          </w:tcPr>
          <w:p w14:paraId="158D2664" w14:textId="77777777" w:rsidR="003F3D5E" w:rsidRDefault="005D26F5">
            <w:pPr>
              <w:pStyle w:val="SourceTableBody"/>
              <w:keepNext/>
              <w:keepLines/>
            </w:pPr>
            <w:r>
              <w:t>French Fries</w:t>
            </w:r>
          </w:p>
        </w:tc>
        <w:tc>
          <w:tcPr>
            <w:tcW w:w="1134" w:type="dxa"/>
            <w:tcBorders>
              <w:bottom w:val="single" w:sz="4" w:space="0" w:color="CFD7D8"/>
            </w:tcBorders>
            <w:vAlign w:val="center"/>
          </w:tcPr>
          <w:p w14:paraId="63069149" w14:textId="77777777" w:rsidR="003F3D5E" w:rsidRDefault="005D26F5">
            <w:pPr>
              <w:pStyle w:val="SourceTableBody"/>
              <w:keepNext/>
              <w:keepLines/>
            </w:pPr>
            <w:r>
              <w:t>3.60</w:t>
            </w:r>
          </w:p>
        </w:tc>
        <w:tc>
          <w:tcPr>
            <w:tcW w:w="680" w:type="dxa"/>
            <w:tcBorders>
              <w:bottom w:val="single" w:sz="4" w:space="0" w:color="CFD7D8"/>
            </w:tcBorders>
            <w:vAlign w:val="center"/>
          </w:tcPr>
          <w:p w14:paraId="0E0077E3" w14:textId="77777777" w:rsidR="003F3D5E" w:rsidRDefault="005D26F5">
            <w:pPr>
              <w:pStyle w:val="SourceTableBody"/>
              <w:keepNext/>
              <w:keepLines/>
            </w:pPr>
            <w:r>
              <w:t>Y</w:t>
            </w:r>
          </w:p>
        </w:tc>
      </w:tr>
      <w:tr w:rsidR="003F3D5E" w14:paraId="1B36B150" w14:textId="77777777">
        <w:trPr>
          <w:cantSplit/>
          <w:jc w:val="center"/>
        </w:trPr>
        <w:tc>
          <w:tcPr>
            <w:tcW w:w="567" w:type="dxa"/>
            <w:tcBorders>
              <w:bottom w:val="single" w:sz="4" w:space="0" w:color="CFD7D8"/>
            </w:tcBorders>
            <w:shd w:val="clear" w:color="auto" w:fill="F1F5F6"/>
            <w:vAlign w:val="center"/>
          </w:tcPr>
          <w:p w14:paraId="09E21559" w14:textId="77777777" w:rsidR="003F3D5E" w:rsidRDefault="005D26F5">
            <w:pPr>
              <w:pStyle w:val="SourceTableBody"/>
              <w:keepNext/>
              <w:keepLines/>
            </w:pPr>
            <w:r>
              <w:t>7</w:t>
            </w:r>
          </w:p>
        </w:tc>
        <w:tc>
          <w:tcPr>
            <w:tcW w:w="2041" w:type="dxa"/>
            <w:tcBorders>
              <w:bottom w:val="single" w:sz="4" w:space="0" w:color="CFD7D8"/>
            </w:tcBorders>
            <w:shd w:val="clear" w:color="auto" w:fill="F1F5F6"/>
            <w:vAlign w:val="center"/>
          </w:tcPr>
          <w:p w14:paraId="4159A1D1" w14:textId="77777777" w:rsidR="003F3D5E" w:rsidRDefault="005D26F5">
            <w:pPr>
              <w:pStyle w:val="SourceTableBody"/>
              <w:keepNext/>
              <w:keepLines/>
            </w:pPr>
            <w:r>
              <w:t>Cheeseburger</w:t>
            </w:r>
          </w:p>
        </w:tc>
        <w:tc>
          <w:tcPr>
            <w:tcW w:w="1134" w:type="dxa"/>
            <w:tcBorders>
              <w:bottom w:val="single" w:sz="4" w:space="0" w:color="CFD7D8"/>
            </w:tcBorders>
            <w:shd w:val="clear" w:color="auto" w:fill="F1F5F6"/>
            <w:vAlign w:val="center"/>
          </w:tcPr>
          <w:p w14:paraId="26A1A864" w14:textId="77777777" w:rsidR="003F3D5E" w:rsidRDefault="005D26F5">
            <w:pPr>
              <w:pStyle w:val="SourceTableBody"/>
              <w:keepNext/>
              <w:keepLines/>
            </w:pPr>
            <w:r>
              <w:t>3.51</w:t>
            </w:r>
          </w:p>
        </w:tc>
        <w:tc>
          <w:tcPr>
            <w:tcW w:w="680" w:type="dxa"/>
            <w:tcBorders>
              <w:bottom w:val="single" w:sz="4" w:space="0" w:color="CFD7D8"/>
            </w:tcBorders>
            <w:shd w:val="clear" w:color="auto" w:fill="F1F5F6"/>
            <w:vAlign w:val="center"/>
          </w:tcPr>
          <w:p w14:paraId="22C5D986" w14:textId="77777777" w:rsidR="003F3D5E" w:rsidRDefault="005D26F5">
            <w:pPr>
              <w:pStyle w:val="SourceTableBody"/>
              <w:keepNext/>
              <w:keepLines/>
            </w:pPr>
            <w:r>
              <w:t>Y</w:t>
            </w:r>
          </w:p>
        </w:tc>
      </w:tr>
      <w:tr w:rsidR="003F3D5E" w14:paraId="36FC00BD" w14:textId="77777777">
        <w:trPr>
          <w:cantSplit/>
          <w:jc w:val="center"/>
        </w:trPr>
        <w:tc>
          <w:tcPr>
            <w:tcW w:w="567" w:type="dxa"/>
            <w:tcBorders>
              <w:bottom w:val="single" w:sz="4" w:space="0" w:color="CFD7D8"/>
            </w:tcBorders>
            <w:vAlign w:val="center"/>
          </w:tcPr>
          <w:p w14:paraId="1C3D166B" w14:textId="77777777" w:rsidR="003F3D5E" w:rsidRDefault="005D26F5">
            <w:pPr>
              <w:pStyle w:val="SourceTableBody"/>
              <w:keepNext/>
              <w:keepLines/>
            </w:pPr>
            <w:r>
              <w:t>8</w:t>
            </w:r>
          </w:p>
        </w:tc>
        <w:tc>
          <w:tcPr>
            <w:tcW w:w="2041" w:type="dxa"/>
            <w:tcBorders>
              <w:bottom w:val="single" w:sz="4" w:space="0" w:color="CFD7D8"/>
            </w:tcBorders>
            <w:vAlign w:val="center"/>
          </w:tcPr>
          <w:p w14:paraId="6E91BDDE" w14:textId="77777777" w:rsidR="003F3D5E" w:rsidRDefault="005D26F5">
            <w:pPr>
              <w:pStyle w:val="SourceTableBody"/>
              <w:keepNext/>
              <w:keepLines/>
            </w:pPr>
            <w:r>
              <w:t>Soda (Not Diet)</w:t>
            </w:r>
          </w:p>
        </w:tc>
        <w:tc>
          <w:tcPr>
            <w:tcW w:w="1134" w:type="dxa"/>
            <w:tcBorders>
              <w:bottom w:val="single" w:sz="4" w:space="0" w:color="CFD7D8"/>
            </w:tcBorders>
            <w:vAlign w:val="center"/>
          </w:tcPr>
          <w:p w14:paraId="682DD3EC" w14:textId="77777777" w:rsidR="003F3D5E" w:rsidRDefault="005D26F5">
            <w:pPr>
              <w:pStyle w:val="SourceTableBody"/>
              <w:keepNext/>
              <w:keepLines/>
            </w:pPr>
            <w:r>
              <w:t>3.29</w:t>
            </w:r>
          </w:p>
        </w:tc>
        <w:tc>
          <w:tcPr>
            <w:tcW w:w="680" w:type="dxa"/>
            <w:tcBorders>
              <w:bottom w:val="single" w:sz="4" w:space="0" w:color="CFD7D8"/>
            </w:tcBorders>
            <w:vAlign w:val="center"/>
          </w:tcPr>
          <w:p w14:paraId="412802B0" w14:textId="77777777" w:rsidR="003F3D5E" w:rsidRDefault="005D26F5">
            <w:pPr>
              <w:pStyle w:val="SourceTableBody"/>
              <w:keepNext/>
              <w:keepLines/>
            </w:pPr>
            <w:r>
              <w:t>Y</w:t>
            </w:r>
          </w:p>
        </w:tc>
      </w:tr>
      <w:tr w:rsidR="003F3D5E" w14:paraId="4D8CD2D5" w14:textId="77777777">
        <w:trPr>
          <w:cantSplit/>
          <w:jc w:val="center"/>
        </w:trPr>
        <w:tc>
          <w:tcPr>
            <w:tcW w:w="567" w:type="dxa"/>
            <w:tcBorders>
              <w:bottom w:val="single" w:sz="4" w:space="0" w:color="CFD7D8"/>
            </w:tcBorders>
            <w:shd w:val="clear" w:color="auto" w:fill="F1F5F6"/>
            <w:vAlign w:val="center"/>
          </w:tcPr>
          <w:p w14:paraId="7CB53497" w14:textId="77777777" w:rsidR="003F3D5E" w:rsidRDefault="005D26F5">
            <w:pPr>
              <w:pStyle w:val="SourceTableBody"/>
              <w:keepNext/>
              <w:keepLines/>
            </w:pPr>
            <w:r>
              <w:t>9</w:t>
            </w:r>
          </w:p>
        </w:tc>
        <w:tc>
          <w:tcPr>
            <w:tcW w:w="2041" w:type="dxa"/>
            <w:tcBorders>
              <w:bottom w:val="single" w:sz="4" w:space="0" w:color="CFD7D8"/>
            </w:tcBorders>
            <w:shd w:val="clear" w:color="auto" w:fill="F1F5F6"/>
            <w:vAlign w:val="center"/>
          </w:tcPr>
          <w:p w14:paraId="4EAF6E34" w14:textId="77777777" w:rsidR="003F3D5E" w:rsidRDefault="005D26F5">
            <w:pPr>
              <w:pStyle w:val="SourceTableBody"/>
              <w:keepNext/>
              <w:keepLines/>
            </w:pPr>
            <w:r>
              <w:t>Cake</w:t>
            </w:r>
          </w:p>
        </w:tc>
        <w:tc>
          <w:tcPr>
            <w:tcW w:w="1134" w:type="dxa"/>
            <w:tcBorders>
              <w:bottom w:val="single" w:sz="4" w:space="0" w:color="CFD7D8"/>
            </w:tcBorders>
            <w:shd w:val="clear" w:color="auto" w:fill="F1F5F6"/>
            <w:vAlign w:val="center"/>
          </w:tcPr>
          <w:p w14:paraId="3B23A9B7" w14:textId="77777777" w:rsidR="003F3D5E" w:rsidRDefault="005D26F5">
            <w:pPr>
              <w:pStyle w:val="SourceTableBody"/>
              <w:keepNext/>
              <w:keepLines/>
            </w:pPr>
            <w:r>
              <w:t>3.26</w:t>
            </w:r>
          </w:p>
        </w:tc>
        <w:tc>
          <w:tcPr>
            <w:tcW w:w="680" w:type="dxa"/>
            <w:tcBorders>
              <w:bottom w:val="single" w:sz="4" w:space="0" w:color="CFD7D8"/>
            </w:tcBorders>
            <w:shd w:val="clear" w:color="auto" w:fill="F1F5F6"/>
            <w:vAlign w:val="center"/>
          </w:tcPr>
          <w:p w14:paraId="6232AFBD" w14:textId="77777777" w:rsidR="003F3D5E" w:rsidRDefault="005D26F5">
            <w:pPr>
              <w:pStyle w:val="SourceTableBody"/>
              <w:keepNext/>
              <w:keepLines/>
            </w:pPr>
            <w:r>
              <w:t>Y</w:t>
            </w:r>
          </w:p>
        </w:tc>
      </w:tr>
      <w:tr w:rsidR="003F3D5E" w14:paraId="255AAC71" w14:textId="77777777">
        <w:trPr>
          <w:cantSplit/>
          <w:jc w:val="center"/>
        </w:trPr>
        <w:tc>
          <w:tcPr>
            <w:tcW w:w="567" w:type="dxa"/>
            <w:tcBorders>
              <w:bottom w:val="single" w:sz="4" w:space="0" w:color="CFD7D8"/>
            </w:tcBorders>
            <w:vAlign w:val="center"/>
          </w:tcPr>
          <w:p w14:paraId="2E8101CF" w14:textId="77777777" w:rsidR="003F3D5E" w:rsidRDefault="005D26F5">
            <w:pPr>
              <w:pStyle w:val="SourceTableBody"/>
              <w:keepLines/>
            </w:pPr>
            <w:r>
              <w:rPr>
                <w:b/>
              </w:rPr>
              <w:t>10</w:t>
            </w:r>
          </w:p>
        </w:tc>
        <w:tc>
          <w:tcPr>
            <w:tcW w:w="2041" w:type="dxa"/>
            <w:tcBorders>
              <w:bottom w:val="single" w:sz="4" w:space="0" w:color="CFD7D8"/>
            </w:tcBorders>
            <w:vAlign w:val="center"/>
          </w:tcPr>
          <w:p w14:paraId="262F202B" w14:textId="77777777" w:rsidR="003F3D5E" w:rsidRDefault="005D26F5">
            <w:pPr>
              <w:pStyle w:val="SourceTableBody"/>
              <w:keepLines/>
            </w:pPr>
            <w:r>
              <w:rPr>
                <w:b/>
              </w:rPr>
              <w:t>Cheese</w:t>
            </w:r>
          </w:p>
        </w:tc>
        <w:tc>
          <w:tcPr>
            <w:tcW w:w="1134" w:type="dxa"/>
            <w:tcBorders>
              <w:bottom w:val="single" w:sz="4" w:space="0" w:color="CFD7D8"/>
            </w:tcBorders>
            <w:vAlign w:val="center"/>
          </w:tcPr>
          <w:p w14:paraId="78F1CD69" w14:textId="77777777" w:rsidR="003F3D5E" w:rsidRDefault="005D26F5">
            <w:pPr>
              <w:pStyle w:val="SourceTableBody"/>
              <w:keepLines/>
            </w:pPr>
            <w:r>
              <w:rPr>
                <w:b/>
              </w:rPr>
              <w:t>3.22</w:t>
            </w:r>
          </w:p>
        </w:tc>
        <w:tc>
          <w:tcPr>
            <w:tcW w:w="680" w:type="dxa"/>
            <w:tcBorders>
              <w:bottom w:val="single" w:sz="4" w:space="0" w:color="CFD7D8"/>
            </w:tcBorders>
            <w:vAlign w:val="center"/>
          </w:tcPr>
          <w:p w14:paraId="6F623365" w14:textId="77777777" w:rsidR="003F3D5E" w:rsidRDefault="005D26F5">
            <w:pPr>
              <w:pStyle w:val="SourceTableBody"/>
              <w:keepLines/>
            </w:pPr>
            <w:r>
              <w:rPr>
                <w:b/>
              </w:rPr>
              <w:t>N</w:t>
            </w:r>
          </w:p>
        </w:tc>
      </w:tr>
    </w:tbl>
    <w:p w14:paraId="2296438B" w14:textId="77777777" w:rsidR="003F3D5E" w:rsidRDefault="005D26F5">
      <w:pPr>
        <w:pStyle w:val="ArticleBody"/>
        <w:jc w:val="both"/>
      </w:pPr>
      <w:r>
        <w:t xml:space="preserve">The findings support further investigation into food characteristics and problematic eating. The samples were not nationally representative, and responses depended on </w:t>
      </w:r>
      <w:r>
        <w:t>participants’ recollections. Food consumption was not directly observed. No direct experimental comparison with drugs or biological test of cheese addiction was performed. The authors themselves described the evidence as preliminary. Long et al. (2015), in</w:t>
      </w:r>
      <w:r>
        <w:t xml:space="preserve"> a review published that December, also questioned whether scale-based findings established a distinct addictive disorder. That later review provides retrospective context; it was not evidence available to journalists in October, and it does not prove that</w:t>
      </w:r>
      <w:r>
        <w:t xml:space="preserve"> food addiction is impossible.</w:t>
      </w:r>
    </w:p>
    <w:p w14:paraId="79A9F2D3" w14:textId="77777777" w:rsidR="003F3D5E" w:rsidRDefault="005D26F5">
      <w:pPr>
        <w:pStyle w:val="ArticleHeading"/>
      </w:pPr>
      <w:r>
        <w:t>Where the media account changed the evidence</w:t>
      </w:r>
    </w:p>
    <w:p w14:paraId="07D585DC" w14:textId="28F9F69E" w:rsidR="003F3D5E" w:rsidRDefault="005D26F5">
      <w:pPr>
        <w:pStyle w:val="ArticleCaption"/>
        <w:keepNext/>
        <w:spacing w:before="200" w:after="80"/>
      </w:pPr>
      <w:r>
        <w:rPr>
          <w:b/>
        </w:rPr>
        <w:t xml:space="preserve">Figure 4. Medical Xpress headline claiming that cheese is as addictive as drugs </w:t>
      </w:r>
    </w:p>
    <w:p w14:paraId="257D107B" w14:textId="77777777" w:rsidR="003F3D5E" w:rsidRDefault="005D26F5">
      <w:pPr>
        <w:spacing w:before="120" w:after="60"/>
        <w:ind w:left="113" w:right="113"/>
      </w:pPr>
      <w:r>
        <w:rPr>
          <w:b/>
          <w:color w:val="345D71"/>
          <w:sz w:val="16"/>
        </w:rPr>
        <w:t>MEDICAL XPRESS   ·   27 OCTOBER 2015</w:t>
      </w:r>
    </w:p>
    <w:p w14:paraId="49EE0411" w14:textId="77777777" w:rsidR="003F3D5E" w:rsidRDefault="005D26F5">
      <w:pPr>
        <w:keepLines/>
        <w:pBdr>
          <w:bottom w:val="single" w:sz="7" w:space="8" w:color="587F90"/>
        </w:pBdr>
        <w:spacing w:after="120"/>
        <w:ind w:left="113" w:right="113"/>
      </w:pPr>
      <w:r>
        <w:rPr>
          <w:b/>
          <w:sz w:val="28"/>
        </w:rPr>
        <w:t>Study reveals cheese is as addictive as drugs</w:t>
      </w:r>
    </w:p>
    <w:p w14:paraId="4B1EE1A8" w14:textId="77777777" w:rsidR="003F3D5E" w:rsidRDefault="005D26F5">
      <w:pPr>
        <w:pStyle w:val="ArticleBody"/>
        <w:jc w:val="both"/>
      </w:pPr>
      <w:r>
        <w:t>T</w:t>
      </w:r>
      <w:r>
        <w:t>he headline explicitly equated cheese with drugs in addictiveness. The body then attributed pizza’s appeal to cheese and introduced casein and casomorphins as an explanation. Its final sentence told readers that their cheese addiction had been “validated b</w:t>
      </w:r>
      <w:r>
        <w:t>y science” (Harris, 2015, para. 7). The implied message was personal: someone who enjoys cheese or struggles to stop eating it now has a scientifically confirmed explanation. That implication goes further than the study’s participant reports.</w:t>
      </w:r>
    </w:p>
    <w:p w14:paraId="7AC3CFEE" w14:textId="77777777" w:rsidR="003F3D5E" w:rsidRDefault="005D26F5">
      <w:pPr>
        <w:pStyle w:val="ArticleBody"/>
        <w:jc w:val="both"/>
      </w:pPr>
      <w:r>
        <w:t>Sensational f</w:t>
      </w:r>
      <w:r>
        <w:t>raming and the presentation of preliminary findings as established facts operate together here. The headline’s certainty prepares readers to interpret the details as proof, while the closing assurance removes any remaining qualification. The research title</w:t>
      </w:r>
      <w:r>
        <w:t xml:space="preserve"> asked which foods </w:t>
      </w:r>
      <w:r>
        <w:rPr>
          <w:i/>
        </w:rPr>
        <w:t>may</w:t>
      </w:r>
      <w:r>
        <w:t xml:space="preserve"> be addictive. The news report converted that cautious question into a settled answer about one food. This change in certainty would remain misleading even if every participant count had been reported correctly.</w:t>
      </w:r>
    </w:p>
    <w:p w14:paraId="450CDEDD" w14:textId="77777777" w:rsidR="003F3D5E" w:rsidRDefault="005D26F5">
      <w:pPr>
        <w:pStyle w:val="ArticleBody"/>
        <w:jc w:val="both"/>
      </w:pPr>
      <w:r>
        <w:t>Cherry-picking is visi</w:t>
      </w:r>
      <w:r>
        <w:t>ble in the treatment of pizza. The article selected its first-place result from Study 2 and used that result to support a cheese-centred story. Yet cheese’s own rankings were considerably lower, and pizza ranked fourth in Study 1. More fundamentally, a res</w:t>
      </w:r>
      <w:r>
        <w:t>ult for a food containing several ingredients cannot identify which ingredient explains the rating. The study did not compare otherwise identical pizzas with and without cheese. Inferring an ingredient’s effect from the whole food changes the unit of analy</w:t>
      </w:r>
      <w:r>
        <w:t>sis and supplies evidence that was never collected (Schulte et al., 2015).</w:t>
      </w:r>
    </w:p>
    <w:p w14:paraId="19CE9270" w14:textId="77777777" w:rsidR="003F3D5E" w:rsidRDefault="005D26F5">
      <w:pPr>
        <w:pStyle w:val="ArticleBody"/>
        <w:jc w:val="both"/>
      </w:pPr>
      <w:r>
        <w:t xml:space="preserve">The article also presents association as causation. A relationship between food characteristics and reported </w:t>
      </w:r>
      <w:r>
        <w:t>eating difficulties becomes a claim that cheese produces addiction throu</w:t>
      </w:r>
      <w:r>
        <w:t>gh a particular biological mechanism. Schulte et al. (2015) did discuss possible parallels between highly processed foods and addictive substances, so the drug analogy was not invented entirely by the journalist. However, the study did not measure casein o</w:t>
      </w:r>
      <w:r>
        <w:t>r casomorphins. A plausible mechanism still requires evidence connecting it to the outcome under discussion. Adding a biochemical explanation cannot turn questionnaire responses into a causal test.</w:t>
      </w:r>
    </w:p>
    <w:p w14:paraId="24D49779" w14:textId="77777777" w:rsidR="003F3D5E" w:rsidRDefault="005D26F5">
      <w:pPr>
        <w:pStyle w:val="ArticleBody"/>
        <w:jc w:val="both"/>
      </w:pPr>
      <w:r>
        <w:t xml:space="preserve">Omitted limitations enable </w:t>
      </w:r>
      <w:r>
        <w:t xml:space="preserve">overgeneralisation. The report describes roughly 500 students, although most analysed participants came from an online adult sample. It also identifies the U.S. National Library of Medicine as the place of publication, rather than naming PLOS ONE (Harris, </w:t>
      </w:r>
      <w:r>
        <w:t>2015). These errors blur how the research was conducted and where it was published. The more consequential omission is the absence of boundaries around the conclusion: the reader is given little reason to distinguish a participant’s reported difficulty fro</w:t>
      </w:r>
      <w:r>
        <w:t>m a clinical condition. Removing those boundaries makes an assertion about a particular study sound applicable to anyone who likes cheese.</w:t>
      </w:r>
    </w:p>
    <w:p w14:paraId="0AC3CD0F" w14:textId="77777777" w:rsidR="003F3D5E" w:rsidRDefault="005D26F5">
      <w:pPr>
        <w:pStyle w:val="ArticleBody"/>
        <w:jc w:val="both"/>
      </w:pPr>
      <w:r>
        <w:t>The Medical Xpress page uses a photograph of Emmental cheese credited to Wikipedia. It illustrates the topic, but sup</w:t>
      </w:r>
      <w:r>
        <w:t>plies no evidence about addiction. In combination with the personalised opening, the familiar food image may make the story feel relevant to everyday eating. There is no basis for claiming that this image independently changed readers’ beliefs. The distort</w:t>
      </w:r>
      <w:r>
        <w:t>ion can be demonstrated from the wording and the research design without assuming a measured visual effect.</w:t>
      </w:r>
    </w:p>
    <w:p w14:paraId="149E7299" w14:textId="77777777" w:rsidR="003F3D5E" w:rsidRDefault="005D26F5">
      <w:pPr>
        <w:pStyle w:val="ArticleBody"/>
        <w:jc w:val="both"/>
      </w:pPr>
      <w:r>
        <w:t>These techniques reinforce one another. The selected results give the causal explanation an apparent empirical basis. Once the limitations are remov</w:t>
      </w:r>
      <w:r>
        <w:t>ed, that explanation can be presented as a general conclusion. Using the distinction discussed by Siani (2025), the text can be identified as misleading scientific communication, while an allegation of deliberate disinformation would require evidence of in</w:t>
      </w:r>
      <w:r>
        <w:t>tent. The article alone cannot establish whether its exaggeration was deliberate or resulted from misunderstanding during reporting and editing.</w:t>
      </w:r>
    </w:p>
    <w:p w14:paraId="1D9F0943" w14:textId="77777777" w:rsidR="003F3D5E" w:rsidRDefault="005D26F5">
      <w:pPr>
        <w:pStyle w:val="ArticleHeading"/>
      </w:pPr>
      <w:r>
        <w:t>Why the claim could spread</w:t>
      </w:r>
    </w:p>
    <w:p w14:paraId="79331339" w14:textId="77777777" w:rsidR="003F3D5E" w:rsidRDefault="005D26F5">
      <w:pPr>
        <w:pStyle w:val="ArticleBody"/>
        <w:jc w:val="both"/>
      </w:pPr>
      <w:r>
        <w:t>The story’s appeal was closely connected to ordinary experience. Someone who already</w:t>
      </w:r>
      <w:r>
        <w:t xml:space="preserve"> describes a favourite food as addictive may find scientific confirmation easy to accept. Confirmation bias offers one explanation: the claim fits an existing interpretation of personal behaviour. Its humorous, reassuring tone could also encourage sharing </w:t>
      </w:r>
      <w:r>
        <w:t>between friends. These are plausible mechanisms, not findings from a study of this article’s audience. Ecker et al. (2022) identify familiarity and compatibility with existing beliefs as factors that can influence acceptance of misinformation.</w:t>
      </w:r>
    </w:p>
    <w:p w14:paraId="37756147" w14:textId="77777777" w:rsidR="003F3D5E" w:rsidRDefault="005D26F5">
      <w:pPr>
        <w:pStyle w:val="ArticleBody"/>
        <w:jc w:val="both"/>
      </w:pPr>
      <w:r>
        <w:t>The article’</w:t>
      </w:r>
      <w:r>
        <w:t>s institutional references could strengthen that appeal. Naming a university and a recognised medical information service makes the story sound traceable to research, even when the conclusion has changed during reporting. The technical explanation then off</w:t>
      </w:r>
      <w:r>
        <w:t>ers readers a reason to repeat it. In this case, a culturally familiar phrase about being addicted to food meets the apparent authority of science. Neither feature requires a reader to inspect the underlying methods.</w:t>
      </w:r>
    </w:p>
    <w:p w14:paraId="2D21A61A" w14:textId="77777777" w:rsidR="003F3D5E" w:rsidRDefault="005D26F5">
      <w:pPr>
        <w:pStyle w:val="ArticleBody"/>
        <w:jc w:val="both"/>
      </w:pPr>
      <w:r>
        <w:t>Republication is directly documented: M</w:t>
      </w:r>
      <w:r>
        <w:t xml:space="preserve">edical Xpress credits the Los Angeles Times and identifies Tribune Content Agency </w:t>
      </w:r>
      <w:r>
        <w:lastRenderedPageBreak/>
        <w:t>as the distributor (Harris, 2015). This provides a concrete example of how a claim can reach another publication without a new scientific study. It also explains why encounte</w:t>
      </w:r>
      <w:r>
        <w:t>ring similar wording in several places should not be mistaken for independent confirmation. Attention-grabbing wording may suit commercial incentives for attracting readers, but no traffic or revenue data establish that such incentives caused this particul</w:t>
      </w:r>
      <w:r>
        <w:t>ar report.</w:t>
      </w:r>
    </w:p>
    <w:p w14:paraId="7EEE0DF5" w14:textId="77777777" w:rsidR="003F3D5E" w:rsidRDefault="005D26F5">
      <w:pPr>
        <w:pStyle w:val="ArticleBody"/>
        <w:jc w:val="both"/>
      </w:pPr>
      <w:r>
        <w:t>The headline itself deserves attention. In two experiments, Ecker et al. (2014) showed that misleading headlines could influence how participants remembered and interpreted news. Their research supports checking the headline as part of the scien</w:t>
      </w:r>
      <w:r>
        <w:t>tific claim, rather than treating it as harmless decoration. It does not establish how many readers believed the cheese story, or whether they changed their diets.</w:t>
      </w:r>
    </w:p>
    <w:p w14:paraId="0D9A5A08" w14:textId="77777777" w:rsidR="003F3D5E" w:rsidRDefault="005D26F5">
      <w:pPr>
        <w:pStyle w:val="ArticleHeading"/>
      </w:pPr>
      <w:r>
        <w:t>Documented response and limits of the impact evidence</w:t>
      </w:r>
    </w:p>
    <w:p w14:paraId="757C9947" w14:textId="77777777" w:rsidR="003F3D5E" w:rsidRDefault="005D26F5">
      <w:pPr>
        <w:pStyle w:val="ArticleBody"/>
        <w:jc w:val="both"/>
      </w:pPr>
      <w:r>
        <w:t>The coverage generated a public scient</w:t>
      </w:r>
      <w:r>
        <w:t>ific response. On October 30, Bethany Brookshire published a corrective article in Science News and interviewed Ashley Gearhardt, one of the study’s authors. Gearhardt objected to the oversimplification and to suggestions that the research excused overeati</w:t>
      </w:r>
      <w:r>
        <w:t>ng. Her explanation distinguished enjoying food from addiction (Brookshire, 2015). This documents a researcher addressing a misrepresentation of her work and a science journalist publishing clarification.</w:t>
      </w:r>
    </w:p>
    <w:p w14:paraId="481137B9" w14:textId="77777777" w:rsidR="003F3D5E" w:rsidRDefault="005D26F5">
      <w:pPr>
        <w:pStyle w:val="ArticleBody"/>
        <w:jc w:val="both"/>
      </w:pPr>
      <w:r>
        <w:t>The evidence supports claims about republication an</w:t>
      </w:r>
      <w:r>
        <w:t>d corrective discussion. It does not demonstrate increased cheese consumption, diagnosed addiction or a change in public policy. Such outcomes would require behavioural data or a separate audience study. A plausible wider risk is that readers learn to trea</w:t>
      </w:r>
      <w:r>
        <w:t>t a survey ranking as a diagnosis, or assume that scientific conclusions are inconsistent when later coverage challenges the original headline. Those risks help explain why the case matters, but they should remain separate from its documented consequences.</w:t>
      </w:r>
    </w:p>
    <w:p w14:paraId="579382A8" w14:textId="77777777" w:rsidR="003F3D5E" w:rsidRDefault="005D26F5">
      <w:pPr>
        <w:pStyle w:val="ArticleHeading"/>
      </w:pPr>
      <w:r>
        <w:t>A correction based on REACT</w:t>
      </w:r>
    </w:p>
    <w:p w14:paraId="510847B0" w14:textId="77777777" w:rsidR="003F3D5E" w:rsidRDefault="005D26F5">
      <w:pPr>
        <w:pStyle w:val="ArticleBody"/>
        <w:jc w:val="both"/>
      </w:pPr>
      <w:r>
        <w:t>A suitable response is an explanatory correction using REACT: repetition, empathy, alternative explanations, credible sources and timeliness. This strategy appears in the course reading by Siani (2025) and is developed by Vraga</w:t>
      </w:r>
      <w:r>
        <w:t xml:space="preserve"> et al. (2023). It addresses an existing misrepresentation by replacing its explanation with an accurate account. In this case, the correction needs to reach the article’s readers and explain exactly why the drug comparison exceeds the evidence.</w:t>
      </w:r>
    </w:p>
    <w:p w14:paraId="45B310EA" w14:textId="77777777" w:rsidR="003F3D5E" w:rsidRDefault="005D26F5">
      <w:pPr>
        <w:pStyle w:val="ArticleBody"/>
        <w:jc w:val="both"/>
      </w:pPr>
      <w:r>
        <w:t>The respon</w:t>
      </w:r>
      <w:r>
        <w:t xml:space="preserve">sible editor should revise the headline and add a clearly dated correction near the opening. A suitable replacement headline would be: </w:t>
      </w:r>
      <w:r>
        <w:rPr>
          <w:i/>
        </w:rPr>
        <w:t>Food survey links highly processed foods with reported eating difficulties</w:t>
      </w:r>
      <w:r>
        <w:t>. The accompanying note should explain what par</w:t>
      </w:r>
      <w:r>
        <w:t>ticipants actually reported and why pizza’s ranking cannot establish cheese addiction or equivalence with drugs. It should also correct the participant description and identify PLOS ONE as the journal. The publisher should send the corrected wording to the</w:t>
      </w:r>
      <w:r>
        <w:t xml:space="preserve"> distributor and request updates from outlets carrying the syndicated report. This targets the documented route of republication.</w:t>
      </w:r>
    </w:p>
    <w:p w14:paraId="019CC305" w14:textId="77777777" w:rsidR="003F3D5E" w:rsidRDefault="005D26F5">
      <w:pPr>
        <w:pStyle w:val="ArticleBody"/>
        <w:jc w:val="both"/>
      </w:pPr>
      <w:r>
        <w:t xml:space="preserve">Repetition would mean using the same accurate explanation in the article and follow-up posts, with renewed clarification when </w:t>
      </w:r>
      <w:r>
        <w:t xml:space="preserve">the old claim resurfaces. Empathy would acknowledge that finding a favourite food hard to resist is a recognisable </w:t>
      </w:r>
      <w:r>
        <w:t>experience, without mocking readers who accepted the story. The alternative explanation is the one the evidence supports: participants associ</w:t>
      </w:r>
      <w:r>
        <w:t>ated some foods, especially highly processed foods, with greater difficulties controlling their eating. It should not be replaced with another untested claim about a single ingredient.</w:t>
      </w:r>
    </w:p>
    <w:p w14:paraId="75F23A68" w14:textId="77777777" w:rsidR="003F3D5E" w:rsidRDefault="005D26F5">
      <w:pPr>
        <w:pStyle w:val="ArticleBody"/>
        <w:jc w:val="both"/>
      </w:pPr>
      <w:r>
        <w:t>For credibility, the correction should link directly to the research an</w:t>
      </w:r>
      <w:r>
        <w:t>d include a clarification checked with a study author or an appropriately qualified independent researcher. The newsroom’s social-media team should circulate it through the channels used for the original report. Timeliness requires acting when the discrepa</w:t>
      </w:r>
      <w:r>
        <w:t>ncy is identified, rather than leaving a misleading headline in place while publishing clarification elsewhere. These actions apply the REACT framework to the specific weaknesses found in this case; they are recommendations, not a description of an interve</w:t>
      </w:r>
      <w:r>
        <w:t>ntion already tested on its readers.</w:t>
      </w:r>
    </w:p>
    <w:p w14:paraId="68B78C56" w14:textId="77777777" w:rsidR="003F3D5E" w:rsidRDefault="005D26F5">
      <w:pPr>
        <w:pStyle w:val="ArticleBody"/>
        <w:jc w:val="both"/>
      </w:pPr>
      <w:r>
        <w:t xml:space="preserve">The main practical limitation is reach. Readers of a screenshot or an old repost may never encounter an amended article. Misinformation can continue to influence reasoning after a correction, even when people recognise </w:t>
      </w:r>
      <w:r>
        <w:t>that the original information was inaccurate (Ecker et al., 2022). The publisher could assess the correction through a brief reader check asking what the study measured and whether it compared cheese with drugs, followed by a later check of retained unders</w:t>
      </w:r>
      <w:r>
        <w:t>tanding. This would provide more useful evidence than counting views alone. Successful implementation would still require editorial time and cooperation from republishing outlets.</w:t>
      </w:r>
    </w:p>
    <w:p w14:paraId="648F9B7A" w14:textId="77777777" w:rsidR="003F3D5E" w:rsidRDefault="005D26F5">
      <w:pPr>
        <w:pStyle w:val="ArticleHeading"/>
      </w:pPr>
      <w:r>
        <w:t>Conclusion</w:t>
      </w:r>
    </w:p>
    <w:p w14:paraId="744C8829" w14:textId="77777777" w:rsidR="003F3D5E" w:rsidRDefault="005D26F5">
      <w:pPr>
        <w:pStyle w:val="ArticleBody"/>
        <w:jc w:val="both"/>
      </w:pPr>
      <w:r>
        <w:t>The 2015 cheese story overstated what a genuine study had establi</w:t>
      </w:r>
      <w:r>
        <w:t>shed. Its certainty depended on selecting pizza’s ranking, attributing that result to cheese and treating an untested mechanism as an explanation for addiction. The underlying research supported a narrower conclusion about self-reported eating difficulties</w:t>
      </w:r>
      <w:r>
        <w:t xml:space="preserve"> and food characteristics. Correcting the story therefore requires an explanation of the measurement and its limits, delivered where readers encountered the original claim. That approach preserves the value of the research while giving readers grounds to r</w:t>
      </w:r>
      <w:r>
        <w:t>eject the unsupported comparison with drugs.</w:t>
      </w:r>
    </w:p>
    <w:p w14:paraId="37107BDD" w14:textId="77777777" w:rsidR="003F3D5E" w:rsidRDefault="005D26F5">
      <w:pPr>
        <w:pStyle w:val="ArticleHeading"/>
      </w:pPr>
      <w:r>
        <w:t>References</w:t>
      </w:r>
    </w:p>
    <w:p w14:paraId="0E6CA794" w14:textId="77777777" w:rsidR="003F3D5E" w:rsidRDefault="005D26F5">
      <w:pPr>
        <w:pStyle w:val="ArticleReferences"/>
      </w:pPr>
      <w:r>
        <w:t xml:space="preserve">Brookshire, B. (2015, October 30). No, cheese is not just like crack. </w:t>
      </w:r>
      <w:r>
        <w:rPr>
          <w:i/>
        </w:rPr>
        <w:t>Science News</w:t>
      </w:r>
      <w:r>
        <w:t xml:space="preserve">. </w:t>
      </w:r>
      <w:hyperlink r:id="rId9">
        <w:r>
          <w:rPr>
            <w:color w:val="426778"/>
          </w:rPr>
          <w:t>https://www.sciencenews.org/blog/scicurious/no-cheese-not-just-crack</w:t>
        </w:r>
      </w:hyperlink>
    </w:p>
    <w:p w14:paraId="79658785" w14:textId="77777777" w:rsidR="003F3D5E" w:rsidRDefault="005D26F5">
      <w:pPr>
        <w:pStyle w:val="ArticleReferences"/>
      </w:pPr>
      <w:r>
        <w:t>Ecker, U. K. H., Lewandowsky, S., Chang, E. P., &amp; Pillai, R. (2014). The effects of subtle misinforma</w:t>
      </w:r>
      <w:r>
        <w:t xml:space="preserve">tion in news headlines. </w:t>
      </w:r>
      <w:r>
        <w:rPr>
          <w:i/>
        </w:rPr>
        <w:t>Journal of Experimental Psychology: Applied, 20</w:t>
      </w:r>
      <w:r>
        <w:t xml:space="preserve">(4), 323–335. </w:t>
      </w:r>
      <w:hyperlink r:id="rId10">
        <w:r>
          <w:rPr>
            <w:color w:val="426778"/>
          </w:rPr>
          <w:t>https://doi.org/10.1037/xap0000028</w:t>
        </w:r>
      </w:hyperlink>
    </w:p>
    <w:p w14:paraId="470CE058" w14:textId="77777777" w:rsidR="003F3D5E" w:rsidRDefault="005D26F5">
      <w:pPr>
        <w:pStyle w:val="ArticleReferences"/>
      </w:pPr>
      <w:r>
        <w:t>Ecker, U. K. H., Lewandowsky, S., Cook, J., Schmid, P., Fazio, L. K., Brashier, N.</w:t>
      </w:r>
      <w:r>
        <w:t xml:space="preserve">, Kendeou, P., Vraga, E. K., &amp; Amazeen, M. A. (2022). The psychological drivers of misinformation belief and its resistance to correction. </w:t>
      </w:r>
      <w:r>
        <w:rPr>
          <w:i/>
        </w:rPr>
        <w:t>Nature Reviews Psychology, 1</w:t>
      </w:r>
      <w:r>
        <w:t xml:space="preserve">(1), 13–29. </w:t>
      </w:r>
      <w:hyperlink r:id="rId11">
        <w:r>
          <w:rPr>
            <w:color w:val="426778"/>
          </w:rPr>
          <w:t>https://doi.org</w:t>
        </w:r>
        <w:r>
          <w:rPr>
            <w:color w:val="426778"/>
          </w:rPr>
          <w:t>/10.1038/s44159-021-00006-y</w:t>
        </w:r>
      </w:hyperlink>
    </w:p>
    <w:p w14:paraId="54076084" w14:textId="77777777" w:rsidR="003F3D5E" w:rsidRDefault="005D26F5">
      <w:pPr>
        <w:pStyle w:val="ArticleReferences"/>
      </w:pPr>
      <w:r>
        <w:t xml:space="preserve">Gearhardt, A. N., Corbin, W. R., &amp; Brownell, K. D. (2009). Preliminary validation of the Yale Food Addiction Scale. </w:t>
      </w:r>
      <w:r>
        <w:rPr>
          <w:i/>
        </w:rPr>
        <w:t>Appetite, 52</w:t>
      </w:r>
      <w:r>
        <w:t xml:space="preserve">(2), 430–436. </w:t>
      </w:r>
      <w:hyperlink r:id="rId12">
        <w:r>
          <w:rPr>
            <w:color w:val="426778"/>
          </w:rPr>
          <w:t>https://doi.org/10.1016</w:t>
        </w:r>
        <w:r>
          <w:rPr>
            <w:color w:val="426778"/>
          </w:rPr>
          <w:t>/j.appet.2008.12.003</w:t>
        </w:r>
      </w:hyperlink>
    </w:p>
    <w:p w14:paraId="3A0E8BE8" w14:textId="77777777" w:rsidR="003F3D5E" w:rsidRDefault="005D26F5">
      <w:pPr>
        <w:pStyle w:val="ArticleReferences"/>
      </w:pPr>
      <w:r>
        <w:t xml:space="preserve">Harris, J. (2015, October 27). </w:t>
      </w:r>
      <w:r>
        <w:rPr>
          <w:i/>
        </w:rPr>
        <w:t>Study reveals cheese is as addictive as drugs</w:t>
      </w:r>
      <w:r>
        <w:t xml:space="preserve">. Medical Xpress. </w:t>
      </w:r>
      <w:hyperlink r:id="rId13">
        <w:r>
          <w:rPr>
            <w:color w:val="426778"/>
          </w:rPr>
          <w:t>https://medicalxpress.com/news/2015-10-reveals-</w:t>
        </w:r>
        <w:r>
          <w:rPr>
            <w:color w:val="426778"/>
          </w:rPr>
          <w:t>cheese-addictive-drugs.html</w:t>
        </w:r>
      </w:hyperlink>
    </w:p>
    <w:p w14:paraId="5B1A28F5" w14:textId="77777777" w:rsidR="003F3D5E" w:rsidRDefault="005D26F5">
      <w:pPr>
        <w:pStyle w:val="ArticleReferences"/>
      </w:pPr>
      <w:r>
        <w:t xml:space="preserve">Long, C. G., Blundell, J. E., &amp; Finlayson, G. (2015). A systematic review of the application and correlates of YFAS-diagnosed ‘food addiction’ in humans: Are eating-related ‘addictions’ a cause for concern or empty concepts? </w:t>
      </w:r>
      <w:r>
        <w:rPr>
          <w:i/>
        </w:rPr>
        <w:t>Obe</w:t>
      </w:r>
      <w:r>
        <w:rPr>
          <w:i/>
        </w:rPr>
        <w:t>sity Facts, 8</w:t>
      </w:r>
      <w:r>
        <w:t xml:space="preserve">(6), 386–401. </w:t>
      </w:r>
      <w:hyperlink r:id="rId14">
        <w:r>
          <w:rPr>
            <w:color w:val="426778"/>
          </w:rPr>
          <w:t>https://doi.org/10.1159/000442403</w:t>
        </w:r>
      </w:hyperlink>
    </w:p>
    <w:p w14:paraId="15A22B81" w14:textId="77777777" w:rsidR="003F3D5E" w:rsidRDefault="005D26F5">
      <w:pPr>
        <w:pStyle w:val="ArticleReferences"/>
      </w:pPr>
      <w:r>
        <w:lastRenderedPageBreak/>
        <w:t>Schulte, E. M., Avena, N. M., &amp; Gearhardt, A. N. (2015). Which foods may be addictive? The roles of processing, fat content, and glycemic load</w:t>
      </w:r>
      <w:r>
        <w:t xml:space="preserve">. </w:t>
      </w:r>
      <w:r>
        <w:rPr>
          <w:i/>
        </w:rPr>
        <w:t>PLOS ONE, 10</w:t>
      </w:r>
      <w:r>
        <w:t xml:space="preserve">(2), Article e0117959. </w:t>
      </w:r>
      <w:hyperlink r:id="rId15">
        <w:r>
          <w:rPr>
            <w:color w:val="426778"/>
          </w:rPr>
          <w:t>https://doi.org/10.1371/journal.pone.0117959</w:t>
        </w:r>
      </w:hyperlink>
    </w:p>
    <w:p w14:paraId="096BA7F1" w14:textId="77777777" w:rsidR="003F3D5E" w:rsidRDefault="005D26F5">
      <w:pPr>
        <w:pStyle w:val="ArticleReferences"/>
      </w:pPr>
      <w:r>
        <w:t xml:space="preserve">Siani, A. (2025). Scientific misinformation. </w:t>
      </w:r>
      <w:r>
        <w:rPr>
          <w:i/>
        </w:rPr>
        <w:t>Encyclopedia, 5</w:t>
      </w:r>
      <w:r>
        <w:t xml:space="preserve">(3), Article 119. </w:t>
      </w:r>
      <w:hyperlink r:id="rId16">
        <w:r>
          <w:rPr>
            <w:color w:val="426778"/>
          </w:rPr>
          <w:t>https://doi.org/10.3390/encyclopedia5030119</w:t>
        </w:r>
      </w:hyperlink>
    </w:p>
    <w:p w14:paraId="0216853F" w14:textId="77777777" w:rsidR="003F3D5E" w:rsidRDefault="005D26F5">
      <w:pPr>
        <w:pStyle w:val="ArticleReferences"/>
      </w:pPr>
      <w:r>
        <w:t xml:space="preserve">Vraga, E. K., Ecker, U. K. H., Žeželj, I., Lazić, A., &amp; Azlan, A. A. (2023). To debunk or not to debunk? Correcting (mis)information. In T. D. Purnat, T. Nguyen, &amp; S. Briand (Eds.), </w:t>
      </w:r>
      <w:r>
        <w:rPr>
          <w:i/>
        </w:rPr>
        <w:t>Managing infodemics in the 21st century: Addressing new public health chal</w:t>
      </w:r>
      <w:r>
        <w:rPr>
          <w:i/>
        </w:rPr>
        <w:t>lenges in the information ecosystem</w:t>
      </w:r>
      <w:r>
        <w:t xml:space="preserve"> (pp. 85–98). Springer. </w:t>
      </w:r>
      <w:hyperlink r:id="rId17">
        <w:r>
          <w:rPr>
            <w:color w:val="426778"/>
          </w:rPr>
          <w:t>https://doi.org/10.1007/978-3-031-27789-4_7</w:t>
        </w:r>
      </w:hyperlink>
    </w:p>
    <w:sectPr w:rsidR="003F3D5E" w:rsidSect="00034616">
      <w:type w:val="continuous"/>
      <w:pgSz w:w="11906" w:h="16838"/>
      <w:pgMar w:top="947" w:right="1020" w:bottom="935" w:left="1020" w:header="454" w:footer="454"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F724C7" w14:textId="77777777" w:rsidR="005D26F5" w:rsidRDefault="005D26F5">
      <w:pPr>
        <w:spacing w:after="0" w:line="240" w:lineRule="auto"/>
      </w:pPr>
      <w:r>
        <w:separator/>
      </w:r>
    </w:p>
  </w:endnote>
  <w:endnote w:type="continuationSeparator" w:id="0">
    <w:p w14:paraId="249DD8C3" w14:textId="77777777" w:rsidR="005D26F5" w:rsidRDefault="005D26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7B9FD" w14:textId="77777777" w:rsidR="003F3D5E" w:rsidRDefault="005D26F5">
    <w:pPr>
      <w:pStyle w:val="a7"/>
      <w:jc w:val="center"/>
    </w:pPr>
    <w:r>
      <w:rPr>
        <w:sz w:val="16"/>
      </w:rPr>
      <w:fldChar w:fldCharType="begin"/>
    </w:r>
    <w:r>
      <w:rPr>
        <w:sz w:val="16"/>
      </w:rPr>
      <w:instrText>PAGE</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5AD28" w14:textId="77777777" w:rsidR="005D26F5" w:rsidRDefault="005D26F5">
      <w:pPr>
        <w:spacing w:after="0" w:line="240" w:lineRule="auto"/>
      </w:pPr>
      <w:r>
        <w:separator/>
      </w:r>
    </w:p>
  </w:footnote>
  <w:footnote w:type="continuationSeparator" w:id="0">
    <w:p w14:paraId="0190DECF" w14:textId="77777777" w:rsidR="005D26F5" w:rsidRDefault="005D26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21AE"/>
    <w:rsid w:val="00326F90"/>
    <w:rsid w:val="003F3D5E"/>
    <w:rsid w:val="005D26F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6944C5"/>
  <w14:defaultImageDpi w14:val="300"/>
  <w15:docId w15:val="{0AA22D88-DC68-4551-B4D2-22CBABC73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4" w:line="264" w:lineRule="auto"/>
    </w:pPr>
    <w:rPr>
      <w:rFonts w:ascii="Cambria" w:hAnsi="Cambria"/>
      <w:color w:val="1E2A2D"/>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Body">
    <w:name w:val="Article Body"/>
    <w:basedOn w:val="a1"/>
    <w:pPr>
      <w:spacing w:after="62" w:line="257" w:lineRule="auto"/>
    </w:pPr>
  </w:style>
  <w:style w:type="paragraph" w:customStyle="1" w:styleId="ArticleHeading">
    <w:name w:val="Article Heading"/>
    <w:basedOn w:val="a1"/>
    <w:pPr>
      <w:keepNext/>
      <w:spacing w:before="140" w:after="60"/>
    </w:pPr>
    <w:rPr>
      <w:b/>
      <w:sz w:val="22"/>
    </w:rPr>
  </w:style>
  <w:style w:type="paragraph" w:customStyle="1" w:styleId="ArticleCaption">
    <w:name w:val="Article Caption"/>
    <w:basedOn w:val="a1"/>
    <w:pPr>
      <w:keepLines/>
      <w:spacing w:before="60" w:after="120"/>
    </w:pPr>
    <w:rPr>
      <w:i/>
      <w:color w:val="505A5A"/>
      <w:sz w:val="15"/>
    </w:rPr>
  </w:style>
  <w:style w:type="paragraph" w:customStyle="1" w:styleId="ArticleReferences">
    <w:name w:val="Article References"/>
    <w:basedOn w:val="a1"/>
    <w:pPr>
      <w:keepLines/>
      <w:spacing w:after="20"/>
      <w:ind w:left="227" w:hanging="227"/>
    </w:pPr>
    <w:rPr>
      <w:sz w:val="15"/>
    </w:rPr>
  </w:style>
  <w:style w:type="paragraph" w:customStyle="1" w:styleId="ArticleTitle">
    <w:name w:val="Article Title"/>
    <w:basedOn w:val="a1"/>
    <w:pPr>
      <w:spacing w:after="140"/>
    </w:pPr>
    <w:rPr>
      <w:b/>
      <w:sz w:val="38"/>
    </w:rPr>
  </w:style>
  <w:style w:type="paragraph" w:customStyle="1" w:styleId="ArticleSubtitle">
    <w:name w:val="Article Subtitle"/>
    <w:basedOn w:val="a1"/>
    <w:pPr>
      <w:spacing w:after="140"/>
    </w:pPr>
    <w:rPr>
      <w:i/>
      <w:sz w:val="20"/>
    </w:rPr>
  </w:style>
  <w:style w:type="paragraph" w:customStyle="1" w:styleId="ArticleAuthors">
    <w:name w:val="Article Authors"/>
    <w:basedOn w:val="a1"/>
    <w:pPr>
      <w:spacing w:after="140"/>
    </w:pPr>
  </w:style>
  <w:style w:type="paragraph" w:customStyle="1" w:styleId="ArticleGroup">
    <w:name w:val="Article Group"/>
    <w:basedOn w:val="a1"/>
    <w:pPr>
      <w:spacing w:after="140"/>
    </w:pPr>
    <w:rPr>
      <w:b/>
      <w:sz w:val="17"/>
    </w:rPr>
  </w:style>
  <w:style w:type="paragraph" w:customStyle="1" w:styleId="SourceTableHeader">
    <w:name w:val="Source Table Header"/>
    <w:basedOn w:val="a1"/>
    <w:pPr>
      <w:spacing w:after="0" w:line="252" w:lineRule="auto"/>
    </w:pPr>
    <w:rPr>
      <w:b/>
      <w:sz w:val="14"/>
    </w:rPr>
  </w:style>
  <w:style w:type="paragraph" w:customStyle="1" w:styleId="SourceTableBody">
    <w:name w:val="Source Table Body"/>
    <w:basedOn w:val="a1"/>
    <w:pPr>
      <w:spacing w:after="0" w:line="252" w:lineRule="auto"/>
    </w:pPr>
    <w:rPr>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medicalxpress.com/news/2015-10-reveals-cheese-addictive-drugs.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appet.2008.12.003" TargetMode="External"/><Relationship Id="rId17" Type="http://schemas.openxmlformats.org/officeDocument/2006/relationships/hyperlink" Target="https://doi.org/10.1007/978-3-031-27789-4_7" TargetMode="External"/><Relationship Id="rId2" Type="http://schemas.openxmlformats.org/officeDocument/2006/relationships/numbering" Target="numbering.xml"/><Relationship Id="rId16" Type="http://schemas.openxmlformats.org/officeDocument/2006/relationships/hyperlink" Target="https://doi.org/10.3390/encyclopedia503011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38/s44159-021-00006-y" TargetMode="External"/><Relationship Id="rId5" Type="http://schemas.openxmlformats.org/officeDocument/2006/relationships/webSettings" Target="webSettings.xml"/><Relationship Id="rId15" Type="http://schemas.openxmlformats.org/officeDocument/2006/relationships/hyperlink" Target="https://doi.org/10.1371/journal.pone.0117959" TargetMode="External"/><Relationship Id="rId10" Type="http://schemas.openxmlformats.org/officeDocument/2006/relationships/hyperlink" Target="https://doi.org/10.1037/xap0000028"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sciencenews.org/blog/scicurious/no-cheese-not-just-crack" TargetMode="External"/><Relationship Id="rId14" Type="http://schemas.openxmlformats.org/officeDocument/2006/relationships/hyperlink" Target="https://doi.org/10.1159/0004424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2886</Words>
  <Characters>16451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food research became a claim about cheese addiction</dc:title>
  <dc:subject>Case study formatted with scientific source tables</dc:subject>
  <dc:creator>python-docx</dc:creator>
  <cp:keywords/>
  <dc:description>generated by python-docx</dc:description>
  <cp:lastModifiedBy>Абылай</cp:lastModifiedBy>
  <cp:revision>2</cp:revision>
  <dcterms:created xsi:type="dcterms:W3CDTF">2013-12-23T23:15:00Z</dcterms:created>
  <dcterms:modified xsi:type="dcterms:W3CDTF">2026-10-22T18:06:00Z</dcterms:modified>
  <cp:category/>
</cp:coreProperties>
</file>