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40"/>
        </w:rPr>
        <w:t>Azure Container Registry</w:t>
        <w:br/>
        <w:t>Private 구성 및 Geo-replication 기술 검토 보고서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2"/>
        </w:rPr>
        <w:t>Private Endpoint 기반 ACR의 지역 복제 동작 · 제약사항 · DR 아키텍처 제안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19"/>
        </w:rPr>
        <w:t>작성일: 2026-06-10   |   문서버전: 1.0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0"/>
        </w:rPr>
        <w:t>1. 개요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본 문서는 Azure Container Registry(ACR)를 Private Endpoint 기반으로 구성하고 지역 복제(Geo-replication)를 적용할 때의 동작 원리와 제약사항을 정리하고, 재해 복구(DR)를 위한 권장 아키텍처를 제안한다. 검토 과정에서 동일 조건의 별도 테스트 레지스트리를 통해 실제 동작을 재현·검증하였다.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21"/>
        </w:rPr>
        <w:t>핵심 요약</w:t>
      </w:r>
    </w:p>
    <w:p>
      <w:pPr>
        <w:pStyle w:val="ListBullet"/>
      </w:pPr>
      <w:r>
        <w:rPr>
          <w:rFonts w:ascii="맑은 고딕" w:hAnsi="맑은 고딕" w:eastAsia="맑은 고딕"/>
        </w:rPr>
        <w:t>Private ACR + Geo-replication 구성 자체는 정상 동작하며, 복제본 추가 시 신규 리전의 data endpoint에 대한 Private DNS 레코드가 자동 등록됨을 확인하였다.</w:t>
      </w:r>
    </w:p>
    <w:p>
      <w:pPr>
        <w:pStyle w:val="ListBullet"/>
      </w:pPr>
      <w:r>
        <w:rPr>
          <w:rFonts w:ascii="맑은 고딕" w:hAnsi="맑은 고딕" w:eastAsia="맑은 고딕"/>
        </w:rPr>
        <w:t>단, Private Endpoint가 단일 리전(Korea Central) VNet에만 존재하는 경우 지역 장애에 대한 자동 장애 조치(failover)는 제공되지 않는다.</w:t>
      </w:r>
    </w:p>
    <w:p>
      <w:pPr>
        <w:pStyle w:val="ListBullet"/>
      </w:pPr>
      <w:r>
        <w:rPr>
          <w:rFonts w:ascii="맑은 고딕" w:hAnsi="맑은 고딕" w:eastAsia="맑은 고딕"/>
        </w:rPr>
        <w:t>DR이 목표라면 2차 리전에 VNet + Private Endpoint를 추가하고 DNS failover 자동화를 함께 설계해야 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0"/>
        </w:rPr>
        <w:t>2. 현재 구성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레지스트리는 Premium SKU, public network access는 Disabled 상태이며, Korea Central에 위치한 단일 VNet의 서브넷에 Private Endpoint(groupId: registry)가 연결되어 있다. Private DNS Zone(privatelink.azurecr.io)은 중앙(별도 구독)에서 관리되며 해당 VNet에 Link 되어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2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color w:val="595959"/>
          <w:sz w:val="18"/>
        </w:rPr>
        <w:t>[그림 1] 현재 구성 — 단일 리전(Korea Central) VNet/PE + Geo-replication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21"/>
        </w:rPr>
        <w:t>동작 원리</w:t>
      </w:r>
    </w:p>
    <w:p>
      <w:pPr>
        <w:pStyle w:val="ListBullet"/>
      </w:pPr>
      <w:r>
        <w:rPr>
          <w:rFonts w:ascii="맑은 고딕" w:hAnsi="맑은 고딕" w:eastAsia="맑은 고딕"/>
        </w:rPr>
        <w:t>하나의 Private Endpoint가 레지스트리 엔드포인트(&lt;registry&gt;.azurecr.io)와 모든 복제 리전의 data endpoint(&lt;registry&gt;.&lt;region&gt;.data.azurecr.io)를 동일 서브넷의 사설 IP로 노출한다.</w:t>
      </w:r>
    </w:p>
    <w:p>
      <w:pPr>
        <w:pStyle w:val="ListBullet"/>
      </w:pPr>
      <w:r>
        <w:rPr>
          <w:rFonts w:ascii="맑은 고딕" w:hAnsi="맑은 고딕" w:eastAsia="맑은 고딕"/>
        </w:rPr>
        <w:t>복제본을 추가하면 ACR이 해당 리전의 data endpoint를 생성하고, PE의 DNS zone group이 Private DNS Zone에 신규 A 레코드를 자동 등록한다.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21"/>
        </w:rPr>
        <w:t>검증 결과 (테스트 레지스트리)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336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ACR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 w:eastAsia="맑은 고딕"/>
                <w:sz w:val="20"/>
              </w:rPr>
              <w:t>Premium, public network Disabled, 정상(Succeeded)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Private Endpoint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 w:eastAsia="맑은 고딕"/>
                <w:sz w:val="20"/>
              </w:rPr>
              <w:t>연결 상태 Approved / Succeeded (groupId: registry)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복제본 추가(UK South)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 w:eastAsia="맑은 고딕"/>
                <w:sz w:val="20"/>
              </w:rPr>
              <w:t>Succeeded / Ready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신규 DNS 레코드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 w:eastAsia="맑은 고딕"/>
                <w:sz w:val="20"/>
              </w:rPr>
              <w:t>&lt;registry&gt;.uksouth.data → 신규 사설 IP 자동 등록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레지스트리 A 레코드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 w:eastAsia="맑은 고딕"/>
                <w:sz w:val="20"/>
              </w:rPr>
              <w:t>단일 PE IP 1개 (단일 리전 종속)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0"/>
        </w:rPr>
        <w:t>3. 제약사항 (지역 장애 시)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Private Endpoint는 리전 리소스인 VNet에 종속된다. 따라서 Private Endpoint가 Korea Central에만 존재하는 현재 구성에서는 다음과 같은 제약이 발생한다.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07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limi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color w:val="595959"/>
          <w:sz w:val="18"/>
        </w:rPr>
        <w:t>[그림 2] 제약사항 — Korea Central 리전 장애 시 private 경로 단절</w:t>
      </w:r>
    </w:p>
    <w:p>
      <w:pPr>
        <w:pStyle w:val="ListBullet"/>
      </w:pPr>
      <w:r>
        <w:rPr>
          <w:rFonts w:ascii="맑은 고딕" w:hAnsi="맑은 고딕" w:eastAsia="맑은 고딕"/>
        </w:rPr>
        <w:t>Korea Central 리전 장애 시 해당 VNet의 Private Endpoint 자체가 사용 불가 상태가 된다.</w:t>
      </w:r>
    </w:p>
    <w:p>
      <w:pPr>
        <w:pStyle w:val="ListBullet"/>
      </w:pPr>
      <w:r>
        <w:rPr>
          <w:rFonts w:ascii="맑은 고딕" w:hAnsi="맑은 고딕" w:eastAsia="맑은 고딕"/>
        </w:rPr>
        <w:t>레지스트리 엔드포인트의 A 레코드는 여전히 죽은 Korea Central PE의 사설 IP를 가리키므로 이름 해석이 정상 IP로 전환되지 않는다.</w:t>
      </w:r>
    </w:p>
    <w:p>
      <w:pPr>
        <w:pStyle w:val="ListBullet"/>
      </w:pPr>
      <w:r>
        <w:rPr>
          <w:rFonts w:ascii="맑은 고딕" w:hAnsi="맑은 고딕" w:eastAsia="맑은 고딕"/>
        </w:rPr>
        <w:t>public network access가 Disabled이므로 ACR의 Traffic Manager 기반 자동 지역 라우팅/장애 조치가 적용되지 않는다(Private Link는 Traffic Manager 경로를 우회).</w:t>
      </w:r>
    </w:p>
    <w:p>
      <w:pPr>
        <w:pStyle w:val="ListBullet"/>
      </w:pPr>
      <w:r>
        <w:rPr>
          <w:rFonts w:ascii="맑은 고딕" w:hAnsi="맑은 고딕" w:eastAsia="맑은 고딕"/>
        </w:rPr>
        <w:t>UK South 복제본의 데이터는 정상이지만, 해당 리전에 Private Endpoint가 없으면 private 경로로 도달할 방법이 없다.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95959"/>
          <w:sz w:val="19"/>
        </w:rPr>
        <w:t>※ 참고: Geo-replication 생성이 '터미널 프로비저닝 Failed'로 실패하는 별도 증상이 보고된 경우, 이는 Private 구성 자체의 문제가 아니라 환경 고유 요인일 가능성이 높다(아래 4장).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0"/>
        </w:rPr>
        <w:t>4. Geo-replication 생성 실패 진단 가이드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복제본 생성이 ResourceOperationFailure(터미널 Failed)로 실패하는 경우, 최상위 오류 메시지는 일반(generic) 메시지이므로 실제 원인은 중첩(child) 이벤트에서 확인해야 한다. 테스트 환경에서는 동일 작업이 정상 성공하였으므로, 실패는 다음 환경 요인을 우선 점검한다.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4176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추정 원인</w:t>
            </w:r>
          </w:p>
        </w:tc>
        <w:tc>
          <w:tcPr>
            <w:tcW w:type="dxa" w:w="3744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  <w:tc>
          <w:tcPr>
            <w:tcW w:type="dxa" w:w="4176"/>
          </w:tcPr>
          <w:p>
            <w:r>
              <w:rPr>
                <w:rFonts w:ascii="맑은 고딕" w:hAnsi="맑은 고딕" w:eastAsia="맑은 고딕"/>
                <w:sz w:val="20"/>
              </w:rPr>
              <w:t>PE 서브넷 IP 고갈</w:t>
              <w:br/>
              <w:t>(신규 data endpoint IP 할당 불가)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 w:eastAsia="맑은 고딕"/>
                <w:sz w:val="20"/>
              </w:rPr>
              <w:t>PE 서브넷 주소 범위 대비 사용 중 IP 수 확인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4176"/>
          </w:tcPr>
          <w:p>
            <w:r>
              <w:rPr>
                <w:rFonts w:ascii="맑은 고딕" w:hAnsi="맑은 고딕" w:eastAsia="맑은 고딕"/>
                <w:sz w:val="20"/>
              </w:rPr>
              <w:t>Azure Policy (Allowed locations 미포함,</w:t>
              <w:br/>
              <w:t>Deny/Require-tag 등)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 w:eastAsia="맑은 고딕"/>
                <w:sz w:val="20"/>
              </w:rPr>
              <w:t>Policy state(NonCompliant) 및 위치 허용 정책 점검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4176"/>
          </w:tcPr>
          <w:p>
            <w:r>
              <w:rPr>
                <w:rFonts w:ascii="맑은 고딕" w:hAnsi="맑은 고딕" w:eastAsia="맑은 고딕"/>
                <w:sz w:val="20"/>
              </w:rPr>
              <w:t>중앙 Private DNS Zone group 쓰기 실패</w:t>
              <w:br/>
              <w:t>(타 구독 권한)</w:t>
            </w:r>
          </w:p>
        </w:tc>
        <w:tc>
          <w:tcPr>
            <w:tcW w:type="dxa" w:w="3744"/>
          </w:tcPr>
          <w:p>
            <w:r>
              <w:rPr>
                <w:rFonts w:ascii="맑은 고딕" w:hAnsi="맑은 고딕" w:eastAsia="맑은 고딕"/>
                <w:sz w:val="20"/>
              </w:rPr>
              <w:t>중앙 zone에 대한 Private DNS Zone Contributor 권한 확인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실제 원인 확정을 위한 핵심 명령 (correlationId로 중첩 오류 추출):</w:t>
      </w:r>
    </w:p>
    <w:p>
      <w:pPr>
        <w:ind w:left="288"/>
      </w:pPr>
      <w:r>
        <w:rPr>
          <w:rFonts w:ascii="Consolas" w:hAnsi="Consolas"/>
          <w:sz w:val="18"/>
        </w:rPr>
        <w:t>az monitor activity-log list --correlation-id &lt;correlationId&gt; \</w:t>
        <w:br/>
        <w:t xml:space="preserve">  --query "[].{op:operationName.value, status:status.value, sub:subStatus.value, msg:properties.statusMessage}" -o jsonc</w:t>
      </w: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0"/>
        </w:rPr>
        <w:t>5. DR 아키텍처 제안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지역 장애에 대한 복원력(DR)을 확보하려면 2차 리전에 Private Endpoint를 두고 DNS 장애 조치를 자동화하는 구조를 권장한다.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39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3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color w:val="595959"/>
          <w:sz w:val="18"/>
        </w:rPr>
        <w:t>[그림 3] DR 제안 — 멀티 리전 Private Endpoint + DNS Failover 자동화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21"/>
        </w:rPr>
        <w:t>구성 요소</w:t>
      </w:r>
    </w:p>
    <w:p>
      <w:pPr>
        <w:pStyle w:val="ListBullet"/>
      </w:pPr>
      <w:r>
        <w:rPr>
          <w:rFonts w:ascii="맑은 고딕" w:hAnsi="맑은 고딕" w:eastAsia="맑은 고딕"/>
        </w:rPr>
        <w:t>2차 리전(예: UK South)에 VNet 및 Private Endpoint(groupId: registry)를 생성한다.</w:t>
      </w:r>
    </w:p>
    <w:p>
      <w:pPr>
        <w:pStyle w:val="ListBullet"/>
      </w:pPr>
      <w:r>
        <w:rPr>
          <w:rFonts w:ascii="맑은 고딕" w:hAnsi="맑은 고딕" w:eastAsia="맑은 고딕"/>
        </w:rPr>
        <w:t>두 리전의 VNet을 동일한 privatelink.azurecr.io Private DNS Zone에 모두 Link 한다.</w:t>
      </w:r>
    </w:p>
    <w:p>
      <w:pPr>
        <w:pStyle w:val="ListBullet"/>
      </w:pPr>
      <w:r>
        <w:rPr>
          <w:rFonts w:ascii="맑은 고딕" w:hAnsi="맑은 고딕" w:eastAsia="맑은 고딕"/>
        </w:rPr>
        <w:t>레지스트리 엔드포인트 A 레코드를 건강한 리전의 PE IP로 전환하는 DNS failover 자동화(Azure Function / Logic App + Health check)를 구성한다.</w:t>
      </w:r>
    </w:p>
    <w:p>
      <w:pPr>
        <w:pStyle w:val="ListBullet"/>
      </w:pPr>
      <w:r>
        <w:rPr>
          <w:rFonts w:ascii="맑은 고딕" w:hAnsi="맑은 고딕" w:eastAsia="맑은 고딕"/>
        </w:rPr>
        <w:t>각 리전의 워크로드(AKS 등)는 자기 리전의 Private Endpoint를 통해 로컬 data endpoint로 이미지를 가져오도록 배치한다.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21"/>
        </w:rPr>
        <w:t>구성 형태별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목적</w:t>
            </w:r>
          </w:p>
        </w:tc>
        <w:tc>
          <w:tcPr>
            <w:tcW w:type="dxa" w:w="3312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구성(단일 리전 VNet/PE)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DR 제안(멀티 리전 PE)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 w:eastAsia="맑은 고딕"/>
                <w:sz w:val="20"/>
              </w:rPr>
              <w:t>콘텐츠 이중화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 w:eastAsia="맑은 고딕"/>
                <w:sz w:val="20"/>
              </w:rPr>
              <w:t>충분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충분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 w:eastAsia="맑은 고딕"/>
                <w:sz w:val="20"/>
              </w:rPr>
              <w:t>타 리전 로컬 Pull 성능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 w:eastAsia="맑은 고딕"/>
                <w:sz w:val="20"/>
              </w:rPr>
              <w:t>불충분(해당 리전 PE 필요)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충분</w:t>
            </w:r>
          </w:p>
        </w:tc>
      </w:tr>
      <w:tr>
        <w:tc>
          <w:tcPr>
            <w:tcW w:type="dxa" w:w="3168"/>
          </w:tcPr>
          <w:p>
            <w:r>
              <w:rPr>
                <w:rFonts w:ascii="맑은 고딕" w:hAnsi="맑은 고딕" w:eastAsia="맑은 고딕"/>
                <w:sz w:val="20"/>
              </w:rPr>
              <w:t>지역 장애 시 Private 접근 Failover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 w:eastAsia="맑은 고딕"/>
                <w:sz w:val="20"/>
              </w:rPr>
              <w:t>불충분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충분(DNS 자동화 포함 시)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1F4E79"/>
          <w:sz w:val="30"/>
        </w:rPr>
        <w:t>6. 권장사항 요약</w:t>
      </w:r>
    </w:p>
    <w:p>
      <w:pPr>
        <w:pStyle w:val="ListBullet"/>
      </w:pPr>
      <w:r>
        <w:rPr>
          <w:rFonts w:ascii="맑은 고딕" w:hAnsi="맑은 고딕" w:eastAsia="맑은 고딕"/>
        </w:rPr>
        <w:t>단순 데이터 이중화가 목적이면 현재 구성(Korea Central VNet/PE + 복제본)으로 충분하다.</w:t>
      </w:r>
    </w:p>
    <w:p>
      <w:pPr>
        <w:pStyle w:val="ListBullet"/>
      </w:pPr>
      <w:r>
        <w:rPr>
          <w:rFonts w:ascii="맑은 고딕" w:hAnsi="맑은 고딕" w:eastAsia="맑은 고딕"/>
        </w:rPr>
        <w:t>DR/Failover가 목적이면 2차 리전 VNet+PE, 동일 zone VNet Link, DNS failover 자동화를 추가로 설계해야 한다.</w:t>
      </w:r>
    </w:p>
    <w:p>
      <w:pPr>
        <w:pStyle w:val="ListBullet"/>
      </w:pPr>
      <w:r>
        <w:rPr>
          <w:rFonts w:ascii="맑은 고딕" w:hAnsi="맑은 고딕" w:eastAsia="맑은 고딕"/>
        </w:rPr>
        <w:t>복제본 생성 실패 시 4장의 진단 절차로 PE 서브넷 IP 여유, Azure Policy, 중앙 DNS 권한을 우선 점검한다.</w:t>
      </w:r>
    </w:p>
    <w:p>
      <w:pPr>
        <w:pStyle w:val="ListBullet"/>
      </w:pPr>
      <w:r>
        <w:rPr>
          <w:rFonts w:ascii="맑은 고딕" w:hAnsi="맑은 고딕" w:eastAsia="맑은 고딕"/>
        </w:rPr>
        <w:t>PE 서브넷은 복제 리전 수 증가에 대비해 충분한 주소 공간(여유 IP)을 확보한다.</w:t>
      </w:r>
    </w:p>
    <w:p>
      <w:pPr>
        <w:spacing w:after="40"/>
      </w:pPr>
      <w:r>
        <w:rPr>
          <w:rFonts w:ascii="맑은 고딕" w:hAnsi="맑은 고딕" w:eastAsia="맑은 고딕"/>
          <w:b/>
          <w:color w:val="1F4E79"/>
          <w:sz w:val="21"/>
        </w:rPr>
        <w:t>참고 문서</w:t>
      </w:r>
    </w:p>
    <w:p>
      <w:pPr>
        <w:pStyle w:val="ListBullet"/>
      </w:pPr>
      <w:r>
        <w:rPr>
          <w:rFonts w:ascii="맑은 고딕" w:hAnsi="맑은 고딕" w:eastAsia="맑은 고딕"/>
          <w:color w:val="595959"/>
          <w:sz w:val="19"/>
        </w:rPr>
        <w:t>ACR Private Link: https://learn.microsoft.com/azure/container-registry/container-registry-private-link</w:t>
      </w:r>
    </w:p>
    <w:p>
      <w:pPr>
        <w:pStyle w:val="ListBullet"/>
      </w:pPr>
      <w:r>
        <w:rPr>
          <w:rFonts w:ascii="맑은 고딕" w:hAnsi="맑은 고딕" w:eastAsia="맑은 고딕"/>
          <w:color w:val="595959"/>
          <w:sz w:val="19"/>
        </w:rPr>
        <w:t>ACR Geo-replication: https://learn.microsoft.com/azure/container-registry/container-registry-geo-replication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