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5B2D90"/>
          <w:sz w:val="18"/>
          <w:szCs w:val="18"/>
        </w:rPr>
        <w:t xml:space="preserve">BRIEF DE PROYECTO — TRANSICIÓN DIGITAL EN LA ADMINISTRACIÓN PÚBLICA</w:t>
      </w:r>
    </w:p>
    <w:p>
      <w:pPr>
        <w:pBdr>
          <w:bottom w:val="single" w:color="5B2D90" w:sz="8" w:space="4"/>
        </w:pBdr>
        <w:spacing w:after="200"/>
        <w:jc w:val="center"/>
      </w:pPr>
      <w:r>
        <w:rPr>
          <w:b/>
          <w:bCs/>
          <w:sz w:val="26"/>
          <w:szCs w:val="26"/>
        </w:rPr>
        <w:t xml:space="preserve">AgroRegistro 360 — Plataforma digital integrada para el registro, actualización y renovación del productor de musáceas del MAG</w:t>
      </w:r>
    </w:p>
    <w:tbl>
      <w:tblPr>
        <w:tblW w:type="dxa" w:w="9640"/>
        <w:tblBorders>
          <w:top w:val="single" w:color="9E9E9E" w:sz="4"/>
          <w:left w:val="single" w:color="9E9E9E" w:sz="4"/>
          <w:bottom w:val="single" w:color="9E9E9E" w:sz="4"/>
          <w:right w:val="single" w:color="9E9E9E" w:sz="4"/>
          <w:insideH w:val="single" w:color="9E9E9E" w:sz="4"/>
          <w:insideV w:val="single" w:color="9E9E9E" w:sz="4"/>
        </w:tblBorders>
      </w:tblPr>
      <w:tblGrid>
        <w:gridCol w:w="2000"/>
        <w:gridCol w:w="2820"/>
        <w:gridCol w:w="1900"/>
        <w:gridCol w:w="2920"/>
      </w:tblGrid>
      <w:tr>
        <w:tc>
          <w:tcPr>
            <w:tcW w:type="dxa" w:w="2000"/>
            <w:shd w:fill="EDE7F6" w:color="auto" w:val="clear"/>
            <w:tcMar>
              <w:top w:type="dxa" w:w="60"/>
              <w:left w:type="dxa" w:w="80"/>
              <w:bottom w:type="dxa" w:w="60"/>
              <w:right w:type="dxa" w:w="80"/>
            </w:tcMar>
          </w:tcPr>
          <w:p>
            <w:pPr>
              <w:spacing w:after="30" w:line="250"/>
              <w:jc w:val="left"/>
            </w:pPr>
            <w:r>
              <w:rPr>
                <w:b/>
                <w:bCs/>
                <w:color w:val="000000"/>
                <w:sz w:val="17"/>
                <w:szCs w:val="17"/>
              </w:rPr>
              <w:t xml:space="preserve">Universidad</w:t>
            </w:r>
          </w:p>
        </w:tc>
        <w:tc>
          <w:tcPr>
            <w:tcW w:type="dxa" w:w="2820"/>
            <w:tcMar>
              <w:top w:type="dxa" w:w="60"/>
              <w:left w:type="dxa" w:w="80"/>
              <w:bottom w:type="dxa" w:w="60"/>
              <w:right w:type="dxa" w:w="80"/>
            </w:tcMar>
          </w:tcPr>
          <w:p>
            <w:pPr>
              <w:spacing w:after="30" w:line="250"/>
              <w:jc w:val="left"/>
            </w:pPr>
            <w:r>
              <w:rPr>
                <w:b w:val="false"/>
                <w:bCs w:val="false"/>
                <w:color w:val="000000"/>
                <w:sz w:val="17"/>
                <w:szCs w:val="17"/>
              </w:rPr>
              <w:t xml:space="preserve">[Nombre de la universidad]</w:t>
            </w:r>
          </w:p>
        </w:tc>
        <w:tc>
          <w:tcPr>
            <w:tcW w:type="dxa" w:w="1900"/>
            <w:shd w:fill="EDE7F6" w:color="auto" w:val="clear"/>
            <w:tcMar>
              <w:top w:type="dxa" w:w="60"/>
              <w:left w:type="dxa" w:w="80"/>
              <w:bottom w:type="dxa" w:w="60"/>
              <w:right w:type="dxa" w:w="80"/>
            </w:tcMar>
          </w:tcPr>
          <w:p>
            <w:pPr>
              <w:spacing w:after="30" w:line="250"/>
              <w:jc w:val="left"/>
            </w:pPr>
            <w:r>
              <w:rPr>
                <w:b/>
                <w:bCs/>
                <w:color w:val="000000"/>
                <w:sz w:val="17"/>
                <w:szCs w:val="17"/>
              </w:rPr>
              <w:t xml:space="preserve">País y ciudad</w:t>
            </w:r>
          </w:p>
        </w:tc>
        <w:tc>
          <w:tcPr>
            <w:tcW w:type="dxa" w:w="2920"/>
            <w:tcMar>
              <w:top w:type="dxa" w:w="60"/>
              <w:left w:type="dxa" w:w="80"/>
              <w:bottom w:type="dxa" w:w="60"/>
              <w:right w:type="dxa" w:w="80"/>
            </w:tcMar>
          </w:tcPr>
          <w:p>
            <w:pPr>
              <w:spacing w:after="30" w:line="250"/>
              <w:jc w:val="left"/>
            </w:pPr>
            <w:r>
              <w:rPr>
                <w:b w:val="false"/>
                <w:bCs w:val="false"/>
                <w:color w:val="000000"/>
                <w:sz w:val="17"/>
                <w:szCs w:val="17"/>
              </w:rPr>
              <w:t xml:space="preserve">Ecuador — Guayaquil</w:t>
            </w:r>
          </w:p>
        </w:tc>
      </w:tr>
      <w:tr>
        <w:tc>
          <w:tcPr>
            <w:tcW w:type="dxa" w:w="2000"/>
            <w:shd w:fill="EDE7F6" w:color="auto" w:val="clear"/>
            <w:tcMar>
              <w:top w:type="dxa" w:w="60"/>
              <w:left w:type="dxa" w:w="80"/>
              <w:bottom w:type="dxa" w:w="60"/>
              <w:right w:type="dxa" w:w="80"/>
            </w:tcMar>
          </w:tcPr>
          <w:p>
            <w:pPr>
              <w:spacing w:after="30" w:line="250"/>
              <w:jc w:val="left"/>
            </w:pPr>
            <w:r>
              <w:rPr>
                <w:b/>
                <w:bCs/>
                <w:color w:val="000000"/>
                <w:sz w:val="17"/>
                <w:szCs w:val="17"/>
              </w:rPr>
              <w:t xml:space="preserve">Equipo</w:t>
            </w:r>
          </w:p>
        </w:tc>
        <w:tc>
          <w:tcPr>
            <w:tcW w:type="dxa" w:w="2820"/>
            <w:tcMar>
              <w:top w:type="dxa" w:w="60"/>
              <w:left w:type="dxa" w:w="80"/>
              <w:bottom w:type="dxa" w:w="60"/>
              <w:right w:type="dxa" w:w="80"/>
            </w:tcMar>
          </w:tcPr>
          <w:p>
            <w:pPr>
              <w:spacing w:after="30" w:line="250"/>
              <w:jc w:val="left"/>
            </w:pPr>
            <w:r>
              <w:rPr>
                <w:b w:val="false"/>
                <w:bCs w:val="false"/>
                <w:color w:val="000000"/>
                <w:sz w:val="17"/>
                <w:szCs w:val="17"/>
              </w:rPr>
              <w:t xml:space="preserve">Equipo #2</w:t>
            </w:r>
          </w:p>
        </w:tc>
        <w:tc>
          <w:tcPr>
            <w:tcW w:type="dxa" w:w="1900"/>
            <w:shd w:fill="EDE7F6" w:color="auto" w:val="clear"/>
            <w:tcMar>
              <w:top w:type="dxa" w:w="60"/>
              <w:left w:type="dxa" w:w="80"/>
              <w:bottom w:type="dxa" w:w="60"/>
              <w:right w:type="dxa" w:w="80"/>
            </w:tcMar>
          </w:tcPr>
          <w:p>
            <w:pPr>
              <w:spacing w:after="30" w:line="250"/>
              <w:jc w:val="left"/>
            </w:pPr>
            <w:r>
              <w:rPr>
                <w:b/>
                <w:bCs/>
                <w:color w:val="000000"/>
                <w:sz w:val="17"/>
                <w:szCs w:val="17"/>
              </w:rPr>
              <w:t xml:space="preserve">Tutor</w:t>
            </w:r>
          </w:p>
        </w:tc>
        <w:tc>
          <w:tcPr>
            <w:tcW w:type="dxa" w:w="2920"/>
            <w:tcMar>
              <w:top w:type="dxa" w:w="60"/>
              <w:left w:type="dxa" w:w="80"/>
              <w:bottom w:type="dxa" w:w="60"/>
              <w:right w:type="dxa" w:w="80"/>
            </w:tcMar>
          </w:tcPr>
          <w:p>
            <w:pPr>
              <w:spacing w:after="30" w:line="250"/>
              <w:jc w:val="left"/>
            </w:pPr>
            <w:r>
              <w:rPr>
                <w:b w:val="false"/>
                <w:bCs w:val="false"/>
                <w:color w:val="000000"/>
                <w:sz w:val="17"/>
                <w:szCs w:val="17"/>
              </w:rPr>
              <w:t xml:space="preserve">Ing. Juan Carlos Moscoso García</w:t>
            </w:r>
          </w:p>
        </w:tc>
      </w:tr>
    </w:tbl>
    <w:p>
      <w:pPr>
        <w:spacing w:after="60" w:before="180"/>
      </w:pPr>
      <w:r>
        <w:rPr>
          <w:b/>
          <w:bCs/>
          <w:color w:val="5B2D90"/>
          <w:sz w:val="22"/>
          <w:szCs w:val="22"/>
        </w:rPr>
        <w:t xml:space="preserve">1. Equipo</w:t>
      </w:r>
    </w:p>
    <w:tbl>
      <w:tblPr>
        <w:tblW w:type="dxa" w:w="9640"/>
        <w:tblBorders>
          <w:top w:val="single" w:color="9E9E9E" w:sz="4"/>
          <w:left w:val="single" w:color="9E9E9E" w:sz="4"/>
          <w:bottom w:val="single" w:color="9E9E9E" w:sz="4"/>
          <w:right w:val="single" w:color="9E9E9E" w:sz="4"/>
          <w:insideH w:val="single" w:color="9E9E9E" w:sz="4"/>
          <w:insideV w:val="single" w:color="9E9E9E" w:sz="4"/>
        </w:tblBorders>
      </w:tblPr>
      <w:tblGrid>
        <w:gridCol w:w="2600"/>
        <w:gridCol w:w="2400"/>
        <w:gridCol w:w="4640"/>
      </w:tblGrid>
      <w:tr>
        <w:trPr>
          <w:tblHeader/>
        </w:trPr>
        <w:tc>
          <w:tcPr>
            <w:tcW w:type="dxa" w:w="2600"/>
            <w:shd w:fill="5B2D90" w:color="auto" w:val="clear"/>
            <w:tcMar>
              <w:top w:type="dxa" w:w="60"/>
              <w:left w:type="dxa" w:w="80"/>
              <w:bottom w:type="dxa" w:w="60"/>
              <w:right w:type="dxa" w:w="80"/>
            </w:tcMar>
          </w:tcPr>
          <w:p>
            <w:pPr>
              <w:spacing w:after="30" w:line="250"/>
              <w:jc w:val="left"/>
            </w:pPr>
            <w:r>
              <w:rPr>
                <w:b/>
                <w:bCs/>
                <w:color w:val="FFFFFF"/>
                <w:sz w:val="17"/>
                <w:szCs w:val="17"/>
              </w:rPr>
              <w:t xml:space="preserve">Integrante</w:t>
            </w:r>
          </w:p>
        </w:tc>
        <w:tc>
          <w:tcPr>
            <w:tcW w:type="dxa" w:w="2400"/>
            <w:shd w:fill="5B2D90" w:color="auto" w:val="clear"/>
            <w:tcMar>
              <w:top w:type="dxa" w:w="60"/>
              <w:left w:type="dxa" w:w="80"/>
              <w:bottom w:type="dxa" w:w="60"/>
              <w:right w:type="dxa" w:w="80"/>
            </w:tcMar>
          </w:tcPr>
          <w:p>
            <w:pPr>
              <w:spacing w:after="30" w:line="250"/>
              <w:jc w:val="left"/>
            </w:pPr>
            <w:r>
              <w:rPr>
                <w:b/>
                <w:bCs/>
                <w:color w:val="FFFFFF"/>
                <w:sz w:val="17"/>
                <w:szCs w:val="17"/>
              </w:rPr>
              <w:t xml:space="preserve">Rol en el proyecto</w:t>
            </w:r>
          </w:p>
        </w:tc>
        <w:tc>
          <w:tcPr>
            <w:tcW w:type="dxa" w:w="4640"/>
            <w:shd w:fill="5B2D90" w:color="auto" w:val="clear"/>
            <w:tcMar>
              <w:top w:type="dxa" w:w="60"/>
              <w:left w:type="dxa" w:w="80"/>
              <w:bottom w:type="dxa" w:w="60"/>
              <w:right w:type="dxa" w:w="80"/>
            </w:tcMar>
          </w:tcPr>
          <w:p>
            <w:pPr>
              <w:spacing w:after="30" w:line="250"/>
              <w:jc w:val="left"/>
            </w:pPr>
            <w:r>
              <w:rPr>
                <w:b/>
                <w:bCs/>
                <w:color w:val="FFFFFF"/>
                <w:sz w:val="17"/>
                <w:szCs w:val="17"/>
              </w:rPr>
              <w:t xml:space="preserve">Experiencia relevante</w:t>
            </w:r>
          </w:p>
        </w:tc>
      </w:tr>
      <w:tr>
        <w:tc>
          <w:tcPr>
            <w:tcW w:type="dxa" w:w="2600"/>
            <w:tcMar>
              <w:top w:type="dxa" w:w="60"/>
              <w:left w:type="dxa" w:w="80"/>
              <w:bottom w:type="dxa" w:w="60"/>
              <w:right w:type="dxa" w:w="80"/>
            </w:tcMar>
          </w:tcPr>
          <w:p>
            <w:pPr>
              <w:spacing w:after="30" w:line="250"/>
              <w:jc w:val="left"/>
            </w:pPr>
            <w:r>
              <w:rPr>
                <w:b w:val="false"/>
                <w:bCs w:val="false"/>
                <w:color w:val="000000"/>
                <w:sz w:val="17"/>
                <w:szCs w:val="17"/>
              </w:rPr>
              <w:t xml:space="preserve">Diego Patricio Ocampo Lascano</w:t>
            </w:r>
          </w:p>
        </w:tc>
        <w:tc>
          <w:tcPr>
            <w:tcW w:type="dxa" w:w="2400"/>
            <w:tcMar>
              <w:top w:type="dxa" w:w="60"/>
              <w:left w:type="dxa" w:w="80"/>
              <w:bottom w:type="dxa" w:w="60"/>
              <w:right w:type="dxa" w:w="80"/>
            </w:tcMar>
          </w:tcPr>
          <w:p>
            <w:pPr>
              <w:spacing w:after="30" w:line="250"/>
              <w:jc w:val="left"/>
            </w:pPr>
            <w:r>
              <w:rPr>
                <w:b w:val="false"/>
                <w:bCs w:val="false"/>
                <w:color w:val="000000"/>
                <w:sz w:val="17"/>
                <w:szCs w:val="17"/>
              </w:rPr>
              <w:t xml:space="preserve">Vocero y representación externa</w:t>
            </w:r>
          </w:p>
        </w:tc>
        <w:tc>
          <w:tcPr>
            <w:tcW w:type="dxa" w:w="4640"/>
            <w:tcMar>
              <w:top w:type="dxa" w:w="60"/>
              <w:left w:type="dxa" w:w="80"/>
              <w:bottom w:type="dxa" w:w="60"/>
              <w:right w:type="dxa" w:w="80"/>
            </w:tcMar>
          </w:tcPr>
          <w:p>
            <w:pPr>
              <w:spacing w:after="30" w:line="250"/>
              <w:jc w:val="left"/>
            </w:pPr>
            <w:r>
              <w:rPr>
                <w:b w:val="false"/>
                <w:bCs w:val="false"/>
                <w:color w:val="000000"/>
                <w:sz w:val="17"/>
                <w:szCs w:val="17"/>
              </w:rPr>
              <w:t xml:space="preserve">Coordinación de reuniones, comunicación con el tutor, síntesis de acuerdos.</w:t>
            </w:r>
          </w:p>
        </w:tc>
      </w:tr>
      <w:tr>
        <w:tc>
          <w:tcPr>
            <w:tcW w:type="dxa" w:w="2600"/>
            <w:shd w:fill="F2F2F2" w:color="auto" w:val="clear"/>
            <w:tcMar>
              <w:top w:type="dxa" w:w="60"/>
              <w:left w:type="dxa" w:w="80"/>
              <w:bottom w:type="dxa" w:w="60"/>
              <w:right w:type="dxa" w:w="80"/>
            </w:tcMar>
          </w:tcPr>
          <w:p>
            <w:pPr>
              <w:spacing w:after="30" w:line="250"/>
              <w:jc w:val="left"/>
            </w:pPr>
            <w:r>
              <w:rPr>
                <w:b w:val="false"/>
                <w:bCs w:val="false"/>
                <w:color w:val="000000"/>
                <w:sz w:val="17"/>
                <w:szCs w:val="17"/>
              </w:rPr>
              <w:t xml:space="preserve">André Esteban Chávez Raza</w:t>
            </w:r>
          </w:p>
        </w:tc>
        <w:tc>
          <w:tcPr>
            <w:tcW w:type="dxa" w:w="2400"/>
            <w:shd w:fill="F2F2F2" w:color="auto" w:val="clear"/>
            <w:tcMar>
              <w:top w:type="dxa" w:w="60"/>
              <w:left w:type="dxa" w:w="80"/>
              <w:bottom w:type="dxa" w:w="60"/>
              <w:right w:type="dxa" w:w="80"/>
            </w:tcMar>
          </w:tcPr>
          <w:p>
            <w:pPr>
              <w:spacing w:after="30" w:line="250"/>
              <w:jc w:val="left"/>
            </w:pPr>
            <w:r>
              <w:rPr>
                <w:b w:val="false"/>
                <w:bCs w:val="false"/>
                <w:color w:val="000000"/>
                <w:sz w:val="17"/>
                <w:szCs w:val="17"/>
              </w:rPr>
              <w:t xml:space="preserve">Mediación de conflictos y facilitación</w:t>
            </w:r>
          </w:p>
        </w:tc>
        <w:tc>
          <w:tcPr>
            <w:tcW w:type="dxa" w:w="4640"/>
            <w:shd w:fill="F2F2F2" w:color="auto" w:val="clear"/>
            <w:tcMar>
              <w:top w:type="dxa" w:w="60"/>
              <w:left w:type="dxa" w:w="80"/>
              <w:bottom w:type="dxa" w:w="60"/>
              <w:right w:type="dxa" w:w="80"/>
            </w:tcMar>
          </w:tcPr>
          <w:p>
            <w:pPr>
              <w:spacing w:after="30" w:line="250"/>
              <w:jc w:val="left"/>
            </w:pPr>
            <w:r>
              <w:rPr>
                <w:b w:val="false"/>
                <w:bCs w:val="false"/>
                <w:color w:val="000000"/>
                <w:sz w:val="17"/>
                <w:szCs w:val="17"/>
              </w:rPr>
              <w:t xml:space="preserve">Manejo de dinámicas de grupo y facilitación de talleres de ideación.</w:t>
            </w:r>
          </w:p>
        </w:tc>
      </w:tr>
      <w:tr>
        <w:tc>
          <w:tcPr>
            <w:tcW w:type="dxa" w:w="2600"/>
            <w:tcMar>
              <w:top w:type="dxa" w:w="60"/>
              <w:left w:type="dxa" w:w="80"/>
              <w:bottom w:type="dxa" w:w="60"/>
              <w:right w:type="dxa" w:w="80"/>
            </w:tcMar>
          </w:tcPr>
          <w:p>
            <w:pPr>
              <w:spacing w:after="30" w:line="250"/>
              <w:jc w:val="left"/>
            </w:pPr>
            <w:r>
              <w:rPr>
                <w:b w:val="false"/>
                <w:bCs w:val="false"/>
                <w:color w:val="000000"/>
                <w:sz w:val="17"/>
                <w:szCs w:val="17"/>
              </w:rPr>
              <w:t xml:space="preserve">Kevin Isidro Rodríguez Ponce</w:t>
            </w:r>
          </w:p>
        </w:tc>
        <w:tc>
          <w:tcPr>
            <w:tcW w:type="dxa" w:w="2400"/>
            <w:tcMar>
              <w:top w:type="dxa" w:w="60"/>
              <w:left w:type="dxa" w:w="80"/>
              <w:bottom w:type="dxa" w:w="60"/>
              <w:right w:type="dxa" w:w="80"/>
            </w:tcMar>
          </w:tcPr>
          <w:p>
            <w:pPr>
              <w:spacing w:after="30" w:line="250"/>
              <w:jc w:val="left"/>
            </w:pPr>
            <w:r>
              <w:rPr>
                <w:b w:val="false"/>
                <w:bCs w:val="false"/>
                <w:color w:val="000000"/>
                <w:sz w:val="17"/>
                <w:szCs w:val="17"/>
              </w:rPr>
              <w:t xml:space="preserve">Planificación y monitoreo</w:t>
            </w:r>
          </w:p>
        </w:tc>
        <w:tc>
          <w:tcPr>
            <w:tcW w:type="dxa" w:w="4640"/>
            <w:tcMar>
              <w:top w:type="dxa" w:w="60"/>
              <w:left w:type="dxa" w:w="80"/>
              <w:bottom w:type="dxa" w:w="60"/>
              <w:right w:type="dxa" w:w="80"/>
            </w:tcMar>
          </w:tcPr>
          <w:p>
            <w:pPr>
              <w:spacing w:after="30" w:line="250"/>
              <w:jc w:val="left"/>
            </w:pPr>
            <w:r>
              <w:rPr>
                <w:b w:val="false"/>
                <w:bCs w:val="false"/>
                <w:color w:val="000000"/>
                <w:sz w:val="17"/>
                <w:szCs w:val="17"/>
              </w:rPr>
              <w:t xml:space="preserve">Analista de business intelligence y administración de infraestructura; construcción de indicadores y tablero de seguimiento.</w:t>
            </w:r>
          </w:p>
        </w:tc>
      </w:tr>
      <w:tr>
        <w:tc>
          <w:tcPr>
            <w:tcW w:type="dxa" w:w="2600"/>
            <w:shd w:fill="F2F2F2" w:color="auto" w:val="clear"/>
            <w:tcMar>
              <w:top w:type="dxa" w:w="60"/>
              <w:left w:type="dxa" w:w="80"/>
              <w:bottom w:type="dxa" w:w="60"/>
              <w:right w:type="dxa" w:w="80"/>
            </w:tcMar>
          </w:tcPr>
          <w:p>
            <w:pPr>
              <w:spacing w:after="30" w:line="250"/>
              <w:jc w:val="left"/>
            </w:pPr>
            <w:r>
              <w:rPr>
                <w:b w:val="false"/>
                <w:bCs w:val="false"/>
                <w:color w:val="000000"/>
                <w:sz w:val="17"/>
                <w:szCs w:val="17"/>
              </w:rPr>
              <w:t xml:space="preserve">Karen María Párraga Bazurto</w:t>
            </w:r>
          </w:p>
        </w:tc>
        <w:tc>
          <w:tcPr>
            <w:tcW w:type="dxa" w:w="2400"/>
            <w:shd w:fill="F2F2F2" w:color="auto" w:val="clear"/>
            <w:tcMar>
              <w:top w:type="dxa" w:w="60"/>
              <w:left w:type="dxa" w:w="80"/>
              <w:bottom w:type="dxa" w:w="60"/>
              <w:right w:type="dxa" w:w="80"/>
            </w:tcMar>
          </w:tcPr>
          <w:p>
            <w:pPr>
              <w:spacing w:after="30" w:line="250"/>
              <w:jc w:val="left"/>
            </w:pPr>
            <w:r>
              <w:rPr>
                <w:b w:val="false"/>
                <w:bCs w:val="false"/>
                <w:color w:val="000000"/>
                <w:sz w:val="17"/>
                <w:szCs w:val="17"/>
              </w:rPr>
              <w:t xml:space="preserve">Bienestar del equipo</w:t>
            </w:r>
          </w:p>
        </w:tc>
        <w:tc>
          <w:tcPr>
            <w:tcW w:type="dxa" w:w="4640"/>
            <w:shd w:fill="F2F2F2" w:color="auto" w:val="clear"/>
            <w:tcMar>
              <w:top w:type="dxa" w:w="60"/>
              <w:left w:type="dxa" w:w="80"/>
              <w:bottom w:type="dxa" w:w="60"/>
              <w:right w:type="dxa" w:w="80"/>
            </w:tcMar>
          </w:tcPr>
          <w:p>
            <w:pPr>
              <w:spacing w:after="30" w:line="250"/>
              <w:jc w:val="left"/>
            </w:pPr>
            <w:r>
              <w:rPr>
                <w:b w:val="false"/>
                <w:bCs w:val="false"/>
                <w:color w:val="000000"/>
                <w:sz w:val="17"/>
                <w:szCs w:val="17"/>
              </w:rPr>
              <w:t xml:space="preserve">Seguimiento del clima del grupo y comunicación interna.</w:t>
            </w:r>
          </w:p>
        </w:tc>
      </w:tr>
      <w:tr>
        <w:tc>
          <w:tcPr>
            <w:tcW w:type="dxa" w:w="2600"/>
            <w:tcMar>
              <w:top w:type="dxa" w:w="60"/>
              <w:left w:type="dxa" w:w="80"/>
              <w:bottom w:type="dxa" w:w="60"/>
              <w:right w:type="dxa" w:w="80"/>
            </w:tcMar>
          </w:tcPr>
          <w:p>
            <w:pPr>
              <w:spacing w:after="30" w:line="250"/>
              <w:jc w:val="left"/>
            </w:pPr>
            <w:r>
              <w:rPr>
                <w:b w:val="false"/>
                <w:bCs w:val="false"/>
                <w:color w:val="000000"/>
                <w:sz w:val="17"/>
                <w:szCs w:val="17"/>
              </w:rPr>
              <w:t xml:space="preserve">Jorge Paul Ordóñez Andrade</w:t>
            </w:r>
          </w:p>
        </w:tc>
        <w:tc>
          <w:tcPr>
            <w:tcW w:type="dxa" w:w="2400"/>
            <w:tcMar>
              <w:top w:type="dxa" w:w="60"/>
              <w:left w:type="dxa" w:w="80"/>
              <w:bottom w:type="dxa" w:w="60"/>
              <w:right w:type="dxa" w:w="80"/>
            </w:tcMar>
          </w:tcPr>
          <w:p>
            <w:pPr>
              <w:spacing w:after="30" w:line="250"/>
              <w:jc w:val="left"/>
            </w:pPr>
            <w:r>
              <w:rPr>
                <w:b w:val="false"/>
                <w:bCs w:val="false"/>
                <w:color w:val="000000"/>
                <w:sz w:val="17"/>
                <w:szCs w:val="17"/>
              </w:rPr>
              <w:t xml:space="preserve">Control de calidad</w:t>
            </w:r>
          </w:p>
        </w:tc>
        <w:tc>
          <w:tcPr>
            <w:tcW w:type="dxa" w:w="4640"/>
            <w:tcMar>
              <w:top w:type="dxa" w:w="60"/>
              <w:left w:type="dxa" w:w="80"/>
              <w:bottom w:type="dxa" w:w="60"/>
              <w:right w:type="dxa" w:w="80"/>
            </w:tcMar>
          </w:tcPr>
          <w:p>
            <w:pPr>
              <w:spacing w:after="30" w:line="250"/>
              <w:jc w:val="left"/>
            </w:pPr>
            <w:r>
              <w:rPr>
                <w:b w:val="false"/>
                <w:bCs w:val="false"/>
                <w:color w:val="000000"/>
                <w:sz w:val="17"/>
                <w:szCs w:val="17"/>
              </w:rPr>
              <w:t xml:space="preserve">Revisión de instrumentos, validación de entregables y consistencia documental.</w:t>
            </w:r>
          </w:p>
        </w:tc>
      </w:tr>
    </w:tbl>
    <w:p>
      <w:pPr>
        <w:spacing w:after="60" w:before="180"/>
      </w:pPr>
      <w:r>
        <w:rPr>
          <w:b/>
          <w:bCs/>
          <w:color w:val="5B2D90"/>
          <w:sz w:val="22"/>
          <w:szCs w:val="22"/>
        </w:rPr>
        <w:t xml:space="preserve">2. Presentación</w:t>
      </w:r>
    </w:p>
    <w:p>
      <w:pPr>
        <w:spacing w:after="100" w:line="264"/>
        <w:jc w:val="both"/>
      </w:pPr>
      <w:r>
        <w:rPr>
          <w:b w:val="false"/>
          <w:bCs w:val="false"/>
          <w:i w:val="false"/>
          <w:iCs w:val="false"/>
          <w:color w:val="000000"/>
          <w:sz w:val="20"/>
          <w:szCs w:val="20"/>
        </w:rPr>
        <w:t xml:space="preserve">AgroRegistro 360 es una iniciativa de innovación pública que digitaliza de extremo a extremo el subproceso MAG-SFM-P03-SP01, Registro, actualización o renovación como productor, a cargo de la Dirección de Gestión de Musáceas del Ministerio de Agricultura y Ganadería del Ecuador. El registro es la puerta de entrada del productor de banano y plátano a la institucionalidad del sector: habilita la suscripción de contratos de compraventa, el acceso al precio mínimo de sustentación y la actualización del catastro productivo. Hoy ese trámite descansa en expedientes físicos, verificación manual de requisitos y sistemas (Unibanano y SIPA) con integración limitada, lo que se traduce en demoras, desplazamientos y reprocesos que afectan sobre todo al pequeño productor. La solución propuesta combina un portal web y una aplicación móvil con expediente digital único, autenticación y firma electrónica, validaciones automáticas, seguimiento del trámite en tiempo real e interoperabilidad con SRI, IESS, Registro Civil, Registro de la Propiedad y Agrocalidad.</w:t>
      </w:r>
    </w:p>
    <w:p>
      <w:pPr>
        <w:spacing w:after="60" w:before="180"/>
      </w:pPr>
      <w:r>
        <w:rPr>
          <w:b/>
          <w:bCs/>
          <w:color w:val="5B2D90"/>
          <w:sz w:val="22"/>
          <w:szCs w:val="22"/>
        </w:rPr>
        <w:t xml:space="preserve">3. Desafío y problemática local</w:t>
      </w:r>
    </w:p>
    <w:p>
      <w:pPr>
        <w:spacing w:after="100" w:line="264"/>
        <w:jc w:val="both"/>
      </w:pPr>
      <w:r>
        <w:rPr>
          <w:b w:val="false"/>
          <w:bCs w:val="false"/>
          <w:i w:val="false"/>
          <w:iCs w:val="false"/>
          <w:color w:val="000000"/>
          <w:sz w:val="20"/>
          <w:szCs w:val="20"/>
        </w:rPr>
        <w:t xml:space="preserve">Desafío: transformar un trámite presencial, documental y de múltiples ventanillas en un servicio público digital, trazable y centrado en el productor, sin perder el rigor de la verificación jurídica y técnica que exige la normativa bananera. La problemática es concreta: en las provincias del litoral ecuatoriano (El Oro, Guayas, Los Ríos, Manabí, Esmeraldas, Santo Domingo de los Tsáchilas y Cañar) un productor debe trasladarse repetidamente, presentar en papel documentos que el Estado ya posee y esperar sin conocer el estado de su expediente. En un sector exportador de alta relevancia económica, ese costo de transacción termina desincentivando la formalización de los pequeños productores y degradando la calidad del catastro sectorial.</w:t>
      </w:r>
    </w:p>
    <w:p>
      <w:pPr>
        <w:spacing w:after="100" w:line="264"/>
        <w:jc w:val="both"/>
      </w:pPr>
      <w:r>
        <w:rPr>
          <w:b w:val="false"/>
          <w:bCs w:val="false"/>
          <w:i w:val="false"/>
          <w:iCs w:val="false"/>
          <w:color w:val="000000"/>
          <w:sz w:val="20"/>
          <w:szCs w:val="20"/>
        </w:rPr>
        <w:t xml:space="preserve">Impacto esperado: reducción medible del tiempo del trámite, del número de visitas presenciales y del costo asumido por el productor; incremento de la trazabilidad, de la calidad de los datos y de la satisfacción del usuario. El proyecto contribuye principalmente al ODS 9 (Industria, innovación e infraestructura) y al ODS 16 (Paz, justicia e instituciones sólidas), y de forma complementaria al ODS 2 (Hambre cero), ODS 8 (Trabajo decente) y ODS 12 (Producción y consumo responsables), en línea con la Agenda 2030.</w:t>
      </w:r>
    </w:p>
    <w:p>
      <w:pPr>
        <w:spacing w:after="60" w:before="180"/>
      </w:pPr>
      <w:r>
        <w:rPr>
          <w:b/>
          <w:bCs/>
          <w:color w:val="5B2D90"/>
          <w:sz w:val="22"/>
          <w:szCs w:val="22"/>
        </w:rPr>
        <w:t xml:space="preserve">4. Fundamentación</w:t>
      </w:r>
    </w:p>
    <w:p>
      <w:pPr>
        <w:spacing w:after="100" w:line="264"/>
        <w:jc w:val="both"/>
      </w:pPr>
      <w:r>
        <w:rPr>
          <w:b w:val="false"/>
          <w:bCs w:val="false"/>
          <w:i w:val="false"/>
          <w:iCs w:val="false"/>
          <w:color w:val="000000"/>
          <w:sz w:val="20"/>
          <w:szCs w:val="20"/>
        </w:rPr>
        <w:t xml:space="preserve">La motivación del equipo surge de una constatación sencilla y verificable: el productor de musáceas dedica tiempo y recursos a demostrar ante el Estado información que el propio Estado ya posee. En un país donde el banano es uno de los principales productos de exportación, la eficiencia del registro sectorial no es un asunto administrativo menor sino una condición de competitividad y de equidad en el acceso a los beneficios de la ley. La transformación digital permite pasar de la lógica de ventanilla a la lógica de servicio, y el enfoque de Design Thinking asegura que el rediseño parta de la observación directa de productores y funcionarios, y no de supuestos tecnológicos. Mejorar la experiencia ciudadana es el criterio ordenador del proyecto: un servicio que el usuario no entiende o no puede usar no reduce cargas, solo las traslada.</w:t>
      </w:r>
    </w:p>
    <w:p>
      <w:pPr>
        <w:spacing w:after="60" w:before="180"/>
      </w:pPr>
      <w:r>
        <w:rPr>
          <w:b/>
          <w:bCs/>
          <w:color w:val="5B2D90"/>
          <w:sz w:val="22"/>
          <w:szCs w:val="22"/>
        </w:rPr>
        <w:t xml:space="preserve">5. Antecedentes</w:t>
      </w:r>
    </w:p>
    <w:p>
      <w:pPr>
        <w:spacing w:after="100" w:line="264"/>
        <w:jc w:val="both"/>
      </w:pPr>
      <w:r>
        <w:rPr>
          <w:b w:val="false"/>
          <w:bCs w:val="false"/>
          <w:i w:val="false"/>
          <w:iCs w:val="false"/>
          <w:color w:val="000000"/>
          <w:sz w:val="20"/>
          <w:szCs w:val="20"/>
        </w:rPr>
        <w:t xml:space="preserve">En el ámbito nacional, Ecuador ha impulsado la simplificación de trámites y la transformación digital a través de la Ley Orgánica para la Optimización y Eficiencia de Trámites Administrativos, el Registro Único de Trámites y Regulaciones, el portal único gob.ec, la Ley Orgánica de Transformación Digital, la Ley Orgánica de Protección de Datos Personales y la Ley Orgánica para el Fortalecimiento de la Ciberseguridad. En el ámbito sectorial, la Ley para Estimular y Controlar la Producción y Comercialización de Banano, Plátano (Barraganete) y otras Musáceas Afines, su Reglamento, el Decreto Ejecutivo 428 de 2022 y los Acuerdos Ministeriales 030-2025, 103-2020 y 107-2020 delimitan las atribuciones y procedimientos aplicables. Los sistemas Unibanano y SIPA constituyen la base tecnológica existente.</w:t>
      </w:r>
    </w:p>
    <w:p>
      <w:pPr>
        <w:spacing w:after="100" w:line="264"/>
        <w:jc w:val="both"/>
      </w:pPr>
      <w:r>
        <w:rPr>
          <w:b w:val="false"/>
          <w:bCs w:val="false"/>
          <w:i w:val="false"/>
          <w:iCs w:val="false"/>
          <w:color w:val="000000"/>
          <w:sz w:val="20"/>
          <w:szCs w:val="20"/>
        </w:rPr>
        <w:t xml:space="preserve">A nivel regional, experiencias de digitalización de registros agropecuarios y catastros rurales en Argentina, Chile, Brasil, Uruguay, Colombia y Perú aportan una lección común: el mayor impacto no proviene de digitalizar el formulario, sino de eliminar la solicitud de documentos que el Estado ya tiene, es decir, de la interoperabilidad. El equipo aplicó esta lección al diseño del prototipo.</w:t>
      </w:r>
    </w:p>
    <w:p>
      <w:pPr>
        <w:spacing w:after="60" w:before="180"/>
      </w:pPr>
      <w:r>
        <w:rPr>
          <w:b/>
          <w:bCs/>
          <w:color w:val="5B2D90"/>
          <w:sz w:val="22"/>
          <w:szCs w:val="22"/>
        </w:rPr>
        <w:t xml:space="preserve">6. Justificación</w:t>
      </w:r>
    </w:p>
    <w:p>
      <w:pPr>
        <w:spacing w:after="100" w:line="264"/>
        <w:jc w:val="both"/>
      </w:pPr>
      <w:r>
        <w:rPr>
          <w:b w:val="false"/>
          <w:bCs w:val="false"/>
          <w:i w:val="false"/>
          <w:iCs w:val="false"/>
          <w:color w:val="000000"/>
          <w:sz w:val="20"/>
          <w:szCs w:val="20"/>
        </w:rPr>
        <w:t xml:space="preserve">El proyecto interviene en el punto exacto donde el productor se encuentra con el Estado, y sus resultados son medibles en tiempo, pasos y costos. Los beneficios se distribuyen entre los actores:</w:t>
      </w:r>
    </w:p>
    <w:p>
      <w:pPr>
        <w:pStyle w:val="ListParagraph"/>
        <w:numPr>
          <w:ilvl w:val="0"/>
          <w:numId w:val="2"/>
        </w:numPr>
        <w:spacing w:after="40" w:line="264"/>
        <w:jc w:val="both"/>
      </w:pPr>
      <w:r>
        <w:rPr>
          <w:b/>
          <w:bCs/>
          <w:sz w:val="20"/>
          <w:szCs w:val="20"/>
        </w:rPr>
        <w:t xml:space="preserve">Productores: </w:t>
      </w:r>
      <w:r>
        <w:rPr>
          <w:sz w:val="20"/>
          <w:szCs w:val="20"/>
        </w:rPr>
        <w:t xml:space="preserve">menos desplazamientos, presentación en línea del expediente, seguimiento en tiempo real y acceso remoto desde el predio.</w:t>
      </w:r>
    </w:p>
    <w:p>
      <w:pPr>
        <w:pStyle w:val="ListParagraph"/>
        <w:numPr>
          <w:ilvl w:val="0"/>
          <w:numId w:val="2"/>
        </w:numPr>
        <w:spacing w:after="40" w:line="264"/>
        <w:jc w:val="both"/>
      </w:pPr>
      <w:r>
        <w:rPr>
          <w:b/>
          <w:bCs/>
          <w:sz w:val="20"/>
          <w:szCs w:val="20"/>
        </w:rPr>
        <w:t xml:space="preserve">Funcionarios del MAG: </w:t>
      </w:r>
      <w:r>
        <w:rPr>
          <w:sz w:val="20"/>
          <w:szCs w:val="20"/>
        </w:rPr>
        <w:t xml:space="preserve">expediente digital ordenado, validaciones automáticas de requisitos, agenda de inspecciones y menor carga repetitiva.</w:t>
      </w:r>
    </w:p>
    <w:p>
      <w:pPr>
        <w:pStyle w:val="ListParagraph"/>
        <w:numPr>
          <w:ilvl w:val="0"/>
          <w:numId w:val="2"/>
        </w:numPr>
        <w:spacing w:after="40" w:line="264"/>
        <w:jc w:val="both"/>
      </w:pPr>
      <w:r>
        <w:rPr>
          <w:b/>
          <w:bCs/>
          <w:sz w:val="20"/>
          <w:szCs w:val="20"/>
        </w:rPr>
        <w:t xml:space="preserve">Institución: </w:t>
      </w:r>
      <w:r>
        <w:rPr>
          <w:sz w:val="20"/>
          <w:szCs w:val="20"/>
        </w:rPr>
        <w:t xml:space="preserve">trazabilidad completa, tablero de indicadores de gestión y catastro sectorial actualizado.</w:t>
      </w:r>
    </w:p>
    <w:p>
      <w:pPr>
        <w:pStyle w:val="ListParagraph"/>
        <w:numPr>
          <w:ilvl w:val="0"/>
          <w:numId w:val="2"/>
        </w:numPr>
        <w:spacing w:after="40" w:line="264"/>
        <w:jc w:val="both"/>
      </w:pPr>
      <w:r>
        <w:rPr>
          <w:b/>
          <w:bCs/>
          <w:sz w:val="20"/>
          <w:szCs w:val="20"/>
        </w:rPr>
        <w:t xml:space="preserve">Ciudadanía y política pública: </w:t>
      </w:r>
      <w:r>
        <w:rPr>
          <w:sz w:val="20"/>
          <w:szCs w:val="20"/>
        </w:rPr>
        <w:t xml:space="preserve">transparencia, reducción de la discrecionalidad y disminución del uso de papel y traslados.</w:t>
      </w:r>
    </w:p>
    <w:p>
      <w:pPr>
        <w:spacing w:after="60" w:before="180"/>
      </w:pPr>
      <w:r>
        <w:rPr>
          <w:b/>
          <w:bCs/>
          <w:color w:val="5B2D90"/>
          <w:sz w:val="22"/>
          <w:szCs w:val="22"/>
        </w:rPr>
        <w:t xml:space="preserve">7. Innovación de la solución</w:t>
      </w:r>
    </w:p>
    <w:p>
      <w:pPr>
        <w:spacing w:after="100" w:line="264"/>
        <w:jc w:val="both"/>
      </w:pPr>
      <w:r>
        <w:rPr>
          <w:b w:val="false"/>
          <w:bCs w:val="false"/>
          <w:i w:val="false"/>
          <w:iCs w:val="false"/>
          <w:color w:val="000000"/>
          <w:sz w:val="20"/>
          <w:szCs w:val="20"/>
        </w:rPr>
        <w:t xml:space="preserve">AgroRegistro 360 combina tres capas de innovación que en conjunto la diferencian de una simple digitalización de formularios:</w:t>
      </w:r>
    </w:p>
    <w:p>
      <w:pPr>
        <w:pStyle w:val="ListParagraph"/>
        <w:numPr>
          <w:ilvl w:val="0"/>
          <w:numId w:val="2"/>
        </w:numPr>
        <w:spacing w:after="40" w:line="264"/>
        <w:jc w:val="both"/>
      </w:pPr>
      <w:r>
        <w:rPr>
          <w:b/>
          <w:bCs/>
          <w:sz w:val="20"/>
          <w:szCs w:val="20"/>
        </w:rPr>
        <w:t xml:space="preserve">Interoperabilidad efectiva: </w:t>
      </w:r>
      <w:r>
        <w:rPr>
          <w:sz w:val="20"/>
          <w:szCs w:val="20"/>
        </w:rPr>
        <w:t xml:space="preserve">consulta automática y validación de datos con Registro Civil (identidad), SRI (RUC y actividad económica), IESS (afiliación), Registro de la Propiedad (datos catastrales) y Agrocalidad (certificaciones fitosanitarias); el productor no vuelve a presentar lo que el Estado ya tiene.</w:t>
      </w:r>
    </w:p>
    <w:p>
      <w:pPr>
        <w:pStyle w:val="ListParagraph"/>
        <w:numPr>
          <w:ilvl w:val="0"/>
          <w:numId w:val="2"/>
        </w:numPr>
        <w:spacing w:after="40" w:line="264"/>
        <w:jc w:val="both"/>
      </w:pPr>
      <w:r>
        <w:rPr>
          <w:b/>
          <w:bCs/>
          <w:sz w:val="20"/>
          <w:szCs w:val="20"/>
        </w:rPr>
        <w:t xml:space="preserve">Analítica y trazabilidad: </w:t>
      </w:r>
      <w:r>
        <w:rPr>
          <w:sz w:val="20"/>
          <w:szCs w:val="20"/>
        </w:rPr>
        <w:t xml:space="preserve">expediente digital único con historial auditable, tablero de indicadores para la Dirección, y analítica de datos para la planificación sectorial (uso responsable de big data).</w:t>
      </w:r>
    </w:p>
    <w:p>
      <w:pPr>
        <w:pStyle w:val="ListParagraph"/>
        <w:numPr>
          <w:ilvl w:val="0"/>
          <w:numId w:val="2"/>
        </w:numPr>
        <w:spacing w:after="40" w:line="264"/>
        <w:jc w:val="both"/>
      </w:pPr>
      <w:r>
        <w:rPr>
          <w:b/>
          <w:bCs/>
          <w:sz w:val="20"/>
          <w:szCs w:val="20"/>
        </w:rPr>
        <w:t xml:space="preserve">Experiencia ciudadana: </w:t>
      </w:r>
      <w:r>
        <w:rPr>
          <w:sz w:val="20"/>
          <w:szCs w:val="20"/>
        </w:rPr>
        <w:t xml:space="preserve">portal web y aplicación móvil con criterios de accesibilidad, notificaciones automáticas, firma electrónica, agenda digital de inspecciones con georreferenciación y un canal asistido en asociaciones que mitiga la brecha digital durante la transición.</w:t>
      </w:r>
    </w:p>
    <w:p>
      <w:pPr>
        <w:spacing w:after="100" w:line="264"/>
        <w:jc w:val="both"/>
      </w:pPr>
      <w:r>
        <w:rPr>
          <w:b w:val="false"/>
          <w:bCs w:val="false"/>
          <w:i w:val="false"/>
          <w:iCs w:val="false"/>
          <w:color w:val="000000"/>
          <w:sz w:val="20"/>
          <w:szCs w:val="20"/>
        </w:rPr>
        <w:t xml:space="preserve">El diseño se sustenta en Design Thinking (Empatizar, Definir, Idear, Prototipar, Evaluar) y respeta el marco de ciberseguridad, protección de datos y firma electrónica del Ecuador.</w:t>
      </w:r>
    </w:p>
    <w:p>
      <w:pPr>
        <w:spacing w:after="60" w:before="180"/>
      </w:pPr>
      <w:r>
        <w:rPr>
          <w:b/>
          <w:bCs/>
          <w:color w:val="5B2D90"/>
          <w:sz w:val="22"/>
          <w:szCs w:val="22"/>
        </w:rPr>
        <w:t xml:space="preserve">8. Objetivos e indicadores</w:t>
      </w:r>
    </w:p>
    <w:p>
      <w:pPr>
        <w:spacing w:after="80" w:line="264"/>
        <w:jc w:val="both"/>
      </w:pPr>
      <w:r>
        <w:rPr>
          <w:b/>
          <w:bCs/>
          <w:sz w:val="20"/>
          <w:szCs w:val="20"/>
        </w:rPr>
        <w:t xml:space="preserve">Objetivo general: </w:t>
      </w:r>
      <w:r>
        <w:rPr>
          <w:sz w:val="20"/>
          <w:szCs w:val="20"/>
        </w:rPr>
        <w:t xml:space="preserve">diseñar y prototipar una plataforma digital de extremo a extremo que reduzca en al menos un 50 % el tiempo del trámite de registro, actualización y renovación como productor de musáceas ante el MAG, mediante interoperabilidad institucional y experiencia ciudadana centrada en el usuario, con avance verificable al cierre del diplomado (30 de noviembre de 2026).</w:t>
      </w:r>
    </w:p>
    <w:tbl>
      <w:tblPr>
        <w:tblW w:type="dxa" w:w="9640"/>
        <w:tblBorders>
          <w:top w:val="single" w:color="9E9E9E" w:sz="4"/>
          <w:left w:val="single" w:color="9E9E9E" w:sz="4"/>
          <w:bottom w:val="single" w:color="9E9E9E" w:sz="4"/>
          <w:right w:val="single" w:color="9E9E9E" w:sz="4"/>
          <w:insideH w:val="single" w:color="9E9E9E" w:sz="4"/>
          <w:insideV w:val="single" w:color="9E9E9E" w:sz="4"/>
        </w:tblBorders>
      </w:tblPr>
      <w:tblGrid>
        <w:gridCol w:w="3600"/>
        <w:gridCol w:w="3020"/>
        <w:gridCol w:w="3020"/>
      </w:tblGrid>
      <w:tr>
        <w:trPr>
          <w:tblHeader/>
        </w:trPr>
        <w:tc>
          <w:tcPr>
            <w:tcW w:type="dxa" w:w="3600"/>
            <w:shd w:fill="5B2D90" w:color="auto" w:val="clear"/>
            <w:tcMar>
              <w:top w:type="dxa" w:w="60"/>
              <w:left w:type="dxa" w:w="80"/>
              <w:bottom w:type="dxa" w:w="60"/>
              <w:right w:type="dxa" w:w="80"/>
            </w:tcMar>
          </w:tcPr>
          <w:p>
            <w:pPr>
              <w:spacing w:after="30" w:line="250"/>
              <w:jc w:val="left"/>
            </w:pPr>
            <w:r>
              <w:rPr>
                <w:b/>
                <w:bCs/>
                <w:color w:val="FFFFFF"/>
                <w:sz w:val="17"/>
                <w:szCs w:val="17"/>
              </w:rPr>
              <w:t xml:space="preserve">Objetivo específico (SMART)</w:t>
            </w:r>
          </w:p>
        </w:tc>
        <w:tc>
          <w:tcPr>
            <w:tcW w:type="dxa" w:w="3020"/>
            <w:shd w:fill="5B2D90" w:color="auto" w:val="clear"/>
            <w:tcMar>
              <w:top w:type="dxa" w:w="60"/>
              <w:left w:type="dxa" w:w="80"/>
              <w:bottom w:type="dxa" w:w="60"/>
              <w:right w:type="dxa" w:w="80"/>
            </w:tcMar>
          </w:tcPr>
          <w:p>
            <w:pPr>
              <w:spacing w:after="30" w:line="250"/>
              <w:jc w:val="left"/>
            </w:pPr>
            <w:r>
              <w:rPr>
                <w:b/>
                <w:bCs/>
                <w:color w:val="FFFFFF"/>
                <w:sz w:val="17"/>
                <w:szCs w:val="17"/>
              </w:rPr>
              <w:t xml:space="preserve">Indicador de output</w:t>
            </w:r>
          </w:p>
        </w:tc>
        <w:tc>
          <w:tcPr>
            <w:tcW w:type="dxa" w:w="3020"/>
            <w:shd w:fill="5B2D90" w:color="auto" w:val="clear"/>
            <w:tcMar>
              <w:top w:type="dxa" w:w="60"/>
              <w:left w:type="dxa" w:w="80"/>
              <w:bottom w:type="dxa" w:w="60"/>
              <w:right w:type="dxa" w:w="80"/>
            </w:tcMar>
          </w:tcPr>
          <w:p>
            <w:pPr>
              <w:spacing w:after="30" w:line="250"/>
              <w:jc w:val="left"/>
            </w:pPr>
            <w:r>
              <w:rPr>
                <w:b/>
                <w:bCs/>
                <w:color w:val="FFFFFF"/>
                <w:sz w:val="17"/>
                <w:szCs w:val="17"/>
              </w:rPr>
              <w:t xml:space="preserve">Indicador de impacto</w:t>
            </w:r>
          </w:p>
        </w:tc>
      </w:tr>
      <w:tr>
        <w:tc>
          <w:tcPr>
            <w:tcW w:type="dxa" w:w="3600"/>
            <w:tcMar>
              <w:top w:type="dxa" w:w="60"/>
              <w:left w:type="dxa" w:w="80"/>
              <w:bottom w:type="dxa" w:w="60"/>
              <w:right w:type="dxa" w:w="80"/>
            </w:tcMar>
          </w:tcPr>
          <w:p>
            <w:pPr>
              <w:spacing w:after="30" w:line="250"/>
              <w:jc w:val="left"/>
            </w:pPr>
            <w:r>
              <w:rPr>
                <w:b w:val="false"/>
                <w:bCs w:val="false"/>
                <w:color w:val="000000"/>
                <w:sz w:val="17"/>
                <w:szCs w:val="17"/>
              </w:rPr>
              <w:t xml:space="preserve">OE1. Levantar la línea base del trámite actual con al menos 30 productores y 5 funcionarios antes del 25 de octubre de 2026.</w:t>
            </w:r>
          </w:p>
        </w:tc>
        <w:tc>
          <w:tcPr>
            <w:tcW w:type="dxa" w:w="3020"/>
            <w:tcMar>
              <w:top w:type="dxa" w:w="60"/>
              <w:left w:type="dxa" w:w="80"/>
              <w:bottom w:type="dxa" w:w="60"/>
              <w:right w:type="dxa" w:w="80"/>
            </w:tcMar>
          </w:tcPr>
          <w:p>
            <w:pPr>
              <w:spacing w:after="30" w:line="250"/>
              <w:jc w:val="left"/>
            </w:pPr>
            <w:r>
              <w:rPr>
                <w:b w:val="false"/>
                <w:bCs w:val="false"/>
                <w:color w:val="000000"/>
                <w:sz w:val="17"/>
                <w:szCs w:val="17"/>
              </w:rPr>
              <w:t xml:space="preserve">N.º de encuestas y entrevistas aplicadas.</w:t>
            </w:r>
          </w:p>
        </w:tc>
        <w:tc>
          <w:tcPr>
            <w:tcW w:type="dxa" w:w="3020"/>
            <w:tcMar>
              <w:top w:type="dxa" w:w="60"/>
              <w:left w:type="dxa" w:w="80"/>
              <w:bottom w:type="dxa" w:w="60"/>
              <w:right w:type="dxa" w:w="80"/>
            </w:tcMar>
          </w:tcPr>
          <w:p>
            <w:pPr>
              <w:spacing w:after="30" w:line="250"/>
              <w:jc w:val="left"/>
            </w:pPr>
            <w:r>
              <w:rPr>
                <w:b w:val="false"/>
                <w:bCs w:val="false"/>
                <w:color w:val="000000"/>
                <w:sz w:val="17"/>
                <w:szCs w:val="17"/>
              </w:rPr>
              <w:t xml:space="preserve">Cobertura de tres provincias y presencia de al menos 50 % de pequeños productores.</w:t>
            </w:r>
          </w:p>
        </w:tc>
      </w:tr>
      <w:tr>
        <w:tc>
          <w:tcPr>
            <w:tcW w:type="dxa" w:w="3600"/>
            <w:shd w:fill="F2F2F2" w:color="auto" w:val="clear"/>
            <w:tcMar>
              <w:top w:type="dxa" w:w="60"/>
              <w:left w:type="dxa" w:w="80"/>
              <w:bottom w:type="dxa" w:w="60"/>
              <w:right w:type="dxa" w:w="80"/>
            </w:tcMar>
          </w:tcPr>
          <w:p>
            <w:pPr>
              <w:spacing w:after="30" w:line="250"/>
              <w:jc w:val="left"/>
            </w:pPr>
            <w:r>
              <w:rPr>
                <w:b w:val="false"/>
                <w:bCs w:val="false"/>
                <w:color w:val="000000"/>
                <w:sz w:val="17"/>
                <w:szCs w:val="17"/>
              </w:rPr>
              <w:t xml:space="preserve">OE2. Rediseñar el recorrido del trámite (customer journey TO-BE) e implementar un prototipo navegable con interoperabilidad simulada de 5 entidades antes del 15 de noviembre de 2026.</w:t>
            </w:r>
          </w:p>
        </w:tc>
        <w:tc>
          <w:tcPr>
            <w:tcW w:type="dxa" w:w="3020"/>
            <w:shd w:fill="F2F2F2" w:color="auto" w:val="clear"/>
            <w:tcMar>
              <w:top w:type="dxa" w:w="60"/>
              <w:left w:type="dxa" w:w="80"/>
              <w:bottom w:type="dxa" w:w="60"/>
              <w:right w:type="dxa" w:w="80"/>
            </w:tcMar>
          </w:tcPr>
          <w:p>
            <w:pPr>
              <w:spacing w:after="30" w:line="250"/>
              <w:jc w:val="left"/>
            </w:pPr>
            <w:r>
              <w:rPr>
                <w:b w:val="false"/>
                <w:bCs w:val="false"/>
                <w:color w:val="000000"/>
                <w:sz w:val="17"/>
                <w:szCs w:val="17"/>
              </w:rPr>
              <w:t xml:space="preserve">Prototipo publicado y probado con 8 usuarios.</w:t>
            </w:r>
          </w:p>
        </w:tc>
        <w:tc>
          <w:tcPr>
            <w:tcW w:type="dxa" w:w="3020"/>
            <w:shd w:fill="F2F2F2" w:color="auto" w:val="clear"/>
            <w:tcMar>
              <w:top w:type="dxa" w:w="60"/>
              <w:left w:type="dxa" w:w="80"/>
              <w:bottom w:type="dxa" w:w="60"/>
              <w:right w:type="dxa" w:w="80"/>
            </w:tcMar>
          </w:tcPr>
          <w:p>
            <w:pPr>
              <w:spacing w:after="30" w:line="250"/>
              <w:jc w:val="left"/>
            </w:pPr>
            <w:r>
              <w:rPr>
                <w:b w:val="false"/>
                <w:bCs w:val="false"/>
                <w:color w:val="000000"/>
                <w:sz w:val="17"/>
                <w:szCs w:val="17"/>
              </w:rPr>
              <w:t xml:space="preserve">Tasa de éxito en tareas ≥ 80 %; puntaje de usabilidad ≥ 70/100.</w:t>
            </w:r>
          </w:p>
        </w:tc>
      </w:tr>
      <w:tr>
        <w:tc>
          <w:tcPr>
            <w:tcW w:type="dxa" w:w="3600"/>
            <w:tcMar>
              <w:top w:type="dxa" w:w="60"/>
              <w:left w:type="dxa" w:w="80"/>
              <w:bottom w:type="dxa" w:w="60"/>
              <w:right w:type="dxa" w:w="80"/>
            </w:tcMar>
          </w:tcPr>
          <w:p>
            <w:pPr>
              <w:spacing w:after="30" w:line="250"/>
              <w:jc w:val="left"/>
            </w:pPr>
            <w:r>
              <w:rPr>
                <w:b w:val="false"/>
                <w:bCs w:val="false"/>
                <w:color w:val="000000"/>
                <w:sz w:val="17"/>
                <w:szCs w:val="17"/>
              </w:rPr>
              <w:t xml:space="preserve">OE3. Medir el cambio con 30 indicadores agrupados en eficiencia, eficacia, igualdad, calidad, transparencia y sostenibilidad, y documentar los resultados antes del 25 de noviembre de 2026.</w:t>
            </w:r>
          </w:p>
        </w:tc>
        <w:tc>
          <w:tcPr>
            <w:tcW w:type="dxa" w:w="3020"/>
            <w:tcMar>
              <w:top w:type="dxa" w:w="60"/>
              <w:left w:type="dxa" w:w="80"/>
              <w:bottom w:type="dxa" w:w="60"/>
              <w:right w:type="dxa" w:w="80"/>
            </w:tcMar>
          </w:tcPr>
          <w:p>
            <w:pPr>
              <w:spacing w:after="30" w:line="250"/>
              <w:jc w:val="left"/>
            </w:pPr>
            <w:r>
              <w:rPr>
                <w:b w:val="false"/>
                <w:bCs w:val="false"/>
                <w:color w:val="000000"/>
                <w:sz w:val="17"/>
                <w:szCs w:val="17"/>
              </w:rPr>
              <w:t xml:space="preserve">Tablero comparativo antes/después publicado.</w:t>
            </w:r>
          </w:p>
        </w:tc>
        <w:tc>
          <w:tcPr>
            <w:tcW w:type="dxa" w:w="3020"/>
            <w:tcMar>
              <w:top w:type="dxa" w:w="60"/>
              <w:left w:type="dxa" w:w="80"/>
              <w:bottom w:type="dxa" w:w="60"/>
              <w:right w:type="dxa" w:w="80"/>
            </w:tcMar>
          </w:tcPr>
          <w:p>
            <w:pPr>
              <w:spacing w:after="30" w:line="250"/>
              <w:jc w:val="left"/>
            </w:pPr>
            <w:r>
              <w:rPr>
                <w:b w:val="false"/>
                <w:bCs w:val="false"/>
                <w:color w:val="000000"/>
                <w:sz w:val="17"/>
                <w:szCs w:val="17"/>
              </w:rPr>
              <w:t xml:space="preserve">Reducción proyectada ≥ 50 % en tiempo, ≥ 60 % en costo y ≥ 70 % en visitas presenciales.</w:t>
            </w:r>
          </w:p>
        </w:tc>
      </w:tr>
    </w:tbl>
    <w:p>
      <w:pPr>
        <w:spacing w:after="100" w:line="264"/>
        <w:jc w:val="both"/>
      </w:pPr>
      <w:r>
        <w:rPr>
          <w:b w:val="false"/>
          <w:bCs w:val="false"/>
          <w:i w:val="false"/>
          <w:iCs w:val="false"/>
          <w:color w:val="000000"/>
          <w:sz w:val="20"/>
          <w:szCs w:val="20"/>
        </w:rPr>
        <w:t xml:space="preserve">La medición del 'antes' se hace con datos reales (encuesta, entrevistas y observación en ventanilla). La del 'después' se hace sobre el prototipo en pruebas de usabilidad y, para los indicadores no medibles en un entorno académico, mediante estimaciones documentadas con supuestos explícitos. El detalle de los 30 indicadores está en el Anexo H de los soportes metodológicos.</w:t>
      </w:r>
    </w:p>
    <w:p>
      <w:pPr>
        <w:spacing w:after="60" w:before="180"/>
      </w:pPr>
      <w:r>
        <w:rPr>
          <w:b/>
          <w:bCs/>
          <w:color w:val="5B2D90"/>
          <w:sz w:val="22"/>
          <w:szCs w:val="22"/>
        </w:rPr>
        <w:t xml:space="preserve">9. Públicos</w:t>
      </w:r>
    </w:p>
    <w:tbl>
      <w:tblPr>
        <w:tblW w:type="dxa" w:w="9640"/>
        <w:tblBorders>
          <w:top w:val="single" w:color="9E9E9E" w:sz="4"/>
          <w:left w:val="single" w:color="9E9E9E" w:sz="4"/>
          <w:bottom w:val="single" w:color="9E9E9E" w:sz="4"/>
          <w:right w:val="single" w:color="9E9E9E" w:sz="4"/>
          <w:insideH w:val="single" w:color="9E9E9E" w:sz="4"/>
          <w:insideV w:val="single" w:color="9E9E9E" w:sz="4"/>
        </w:tblBorders>
      </w:tblPr>
      <w:tblGrid>
        <w:gridCol w:w="2800"/>
        <w:gridCol w:w="3220"/>
        <w:gridCol w:w="3620"/>
      </w:tblGrid>
      <w:tr>
        <w:trPr>
          <w:tblHeader/>
        </w:trPr>
        <w:tc>
          <w:tcPr>
            <w:tcW w:type="dxa" w:w="2800"/>
            <w:shd w:fill="5B2D90" w:color="auto" w:val="clear"/>
            <w:tcMar>
              <w:top w:type="dxa" w:w="60"/>
              <w:left w:type="dxa" w:w="80"/>
              <w:bottom w:type="dxa" w:w="60"/>
              <w:right w:type="dxa" w:w="80"/>
            </w:tcMar>
          </w:tcPr>
          <w:p>
            <w:pPr>
              <w:spacing w:after="30" w:line="250"/>
              <w:jc w:val="left"/>
            </w:pPr>
            <w:r>
              <w:rPr>
                <w:b/>
                <w:bCs/>
                <w:color w:val="FFFFFF"/>
                <w:sz w:val="17"/>
                <w:szCs w:val="17"/>
              </w:rPr>
              <w:t xml:space="preserve">Público</w:t>
            </w:r>
          </w:p>
        </w:tc>
        <w:tc>
          <w:tcPr>
            <w:tcW w:type="dxa" w:w="3220"/>
            <w:shd w:fill="5B2D90" w:color="auto" w:val="clear"/>
            <w:tcMar>
              <w:top w:type="dxa" w:w="60"/>
              <w:left w:type="dxa" w:w="80"/>
              <w:bottom w:type="dxa" w:w="60"/>
              <w:right w:type="dxa" w:w="80"/>
            </w:tcMar>
          </w:tcPr>
          <w:p>
            <w:pPr>
              <w:spacing w:after="30" w:line="250"/>
              <w:jc w:val="left"/>
            </w:pPr>
            <w:r>
              <w:rPr>
                <w:b/>
                <w:bCs/>
                <w:color w:val="FFFFFF"/>
                <w:sz w:val="17"/>
                <w:szCs w:val="17"/>
              </w:rPr>
              <w:t xml:space="preserve">Perfil</w:t>
            </w:r>
          </w:p>
        </w:tc>
        <w:tc>
          <w:tcPr>
            <w:tcW w:type="dxa" w:w="3620"/>
            <w:shd w:fill="5B2D90" w:color="auto" w:val="clear"/>
            <w:tcMar>
              <w:top w:type="dxa" w:w="60"/>
              <w:left w:type="dxa" w:w="80"/>
              <w:bottom w:type="dxa" w:w="60"/>
              <w:right w:type="dxa" w:w="80"/>
            </w:tcMar>
          </w:tcPr>
          <w:p>
            <w:pPr>
              <w:spacing w:after="30" w:line="250"/>
              <w:jc w:val="left"/>
            </w:pPr>
            <w:r>
              <w:rPr>
                <w:b/>
                <w:bCs/>
                <w:color w:val="FFFFFF"/>
                <w:sz w:val="17"/>
                <w:szCs w:val="17"/>
              </w:rPr>
              <w:t xml:space="preserve">Cómo se beneficia</w:t>
            </w:r>
          </w:p>
        </w:tc>
      </w:tr>
      <w:tr>
        <w:tc>
          <w:tcPr>
            <w:tcW w:type="dxa" w:w="2800"/>
            <w:tcMar>
              <w:top w:type="dxa" w:w="60"/>
              <w:left w:type="dxa" w:w="80"/>
              <w:bottom w:type="dxa" w:w="60"/>
              <w:right w:type="dxa" w:w="80"/>
            </w:tcMar>
          </w:tcPr>
          <w:p>
            <w:pPr>
              <w:spacing w:after="30" w:line="250"/>
              <w:jc w:val="left"/>
            </w:pPr>
            <w:r>
              <w:rPr>
                <w:b w:val="false"/>
                <w:bCs w:val="false"/>
                <w:color w:val="000000"/>
                <w:sz w:val="17"/>
                <w:szCs w:val="17"/>
              </w:rPr>
              <w:t xml:space="preserve">Pequeños productores</w:t>
            </w:r>
          </w:p>
        </w:tc>
        <w:tc>
          <w:tcPr>
            <w:tcW w:type="dxa" w:w="3220"/>
            <w:tcMar>
              <w:top w:type="dxa" w:w="60"/>
              <w:left w:type="dxa" w:w="80"/>
              <w:bottom w:type="dxa" w:w="60"/>
              <w:right w:type="dxa" w:w="80"/>
            </w:tcMar>
          </w:tcPr>
          <w:p>
            <w:pPr>
              <w:spacing w:after="30" w:line="250"/>
              <w:jc w:val="left"/>
            </w:pPr>
            <w:r>
              <w:rPr>
                <w:b w:val="false"/>
                <w:bCs w:val="false"/>
                <w:color w:val="000000"/>
                <w:sz w:val="17"/>
                <w:szCs w:val="17"/>
              </w:rPr>
              <w:t xml:space="preserve">Unidades familiares de &lt; 30 ha, conectividad intermitente, alfabetización digital heterogénea; público prioritario.</w:t>
            </w:r>
          </w:p>
        </w:tc>
        <w:tc>
          <w:tcPr>
            <w:tcW w:type="dxa" w:w="3620"/>
            <w:tcMar>
              <w:top w:type="dxa" w:w="60"/>
              <w:left w:type="dxa" w:w="80"/>
              <w:bottom w:type="dxa" w:w="60"/>
              <w:right w:type="dxa" w:w="80"/>
            </w:tcMar>
          </w:tcPr>
          <w:p>
            <w:pPr>
              <w:spacing w:after="30" w:line="250"/>
              <w:jc w:val="left"/>
            </w:pPr>
            <w:r>
              <w:rPr>
                <w:b w:val="false"/>
                <w:bCs w:val="false"/>
                <w:color w:val="000000"/>
                <w:sz w:val="17"/>
                <w:szCs w:val="17"/>
              </w:rPr>
              <w:t xml:space="preserve">Reducción de traslados y costos; canal asistido en asociaciones.</w:t>
            </w:r>
          </w:p>
        </w:tc>
      </w:tr>
      <w:tr>
        <w:tc>
          <w:tcPr>
            <w:tcW w:type="dxa" w:w="2800"/>
            <w:shd w:fill="F2F2F2" w:color="auto" w:val="clear"/>
            <w:tcMar>
              <w:top w:type="dxa" w:w="60"/>
              <w:left w:type="dxa" w:w="80"/>
              <w:bottom w:type="dxa" w:w="60"/>
              <w:right w:type="dxa" w:w="80"/>
            </w:tcMar>
          </w:tcPr>
          <w:p>
            <w:pPr>
              <w:spacing w:after="30" w:line="250"/>
              <w:jc w:val="left"/>
            </w:pPr>
            <w:r>
              <w:rPr>
                <w:b w:val="false"/>
                <w:bCs w:val="false"/>
                <w:color w:val="000000"/>
                <w:sz w:val="17"/>
                <w:szCs w:val="17"/>
              </w:rPr>
              <w:t xml:space="preserve">Medianos productores</w:t>
            </w:r>
          </w:p>
        </w:tc>
        <w:tc>
          <w:tcPr>
            <w:tcW w:type="dxa" w:w="3220"/>
            <w:shd w:fill="F2F2F2" w:color="auto" w:val="clear"/>
            <w:tcMar>
              <w:top w:type="dxa" w:w="60"/>
              <w:left w:type="dxa" w:w="80"/>
              <w:bottom w:type="dxa" w:w="60"/>
              <w:right w:type="dxa" w:w="80"/>
            </w:tcMar>
          </w:tcPr>
          <w:p>
            <w:pPr>
              <w:spacing w:after="30" w:line="250"/>
              <w:jc w:val="left"/>
            </w:pPr>
            <w:r>
              <w:rPr>
                <w:b w:val="false"/>
                <w:bCs w:val="false"/>
                <w:color w:val="000000"/>
                <w:sz w:val="17"/>
                <w:szCs w:val="17"/>
              </w:rPr>
              <w:t xml:space="preserve">Mayor capacidad administrativa, trámites frecuentes de predios y tenencia.</w:t>
            </w:r>
          </w:p>
        </w:tc>
        <w:tc>
          <w:tcPr>
            <w:tcW w:type="dxa" w:w="3620"/>
            <w:shd w:fill="F2F2F2" w:color="auto" w:val="clear"/>
            <w:tcMar>
              <w:top w:type="dxa" w:w="60"/>
              <w:left w:type="dxa" w:w="80"/>
              <w:bottom w:type="dxa" w:w="60"/>
              <w:right w:type="dxa" w:w="80"/>
            </w:tcMar>
          </w:tcPr>
          <w:p>
            <w:pPr>
              <w:spacing w:after="30" w:line="250"/>
              <w:jc w:val="left"/>
            </w:pPr>
            <w:r>
              <w:rPr>
                <w:b w:val="false"/>
                <w:bCs w:val="false"/>
                <w:color w:val="000000"/>
                <w:sz w:val="17"/>
                <w:szCs w:val="17"/>
              </w:rPr>
              <w:t xml:space="preserve">Previsibilidad, rapidez y trazabilidad del expediente.</w:t>
            </w:r>
          </w:p>
        </w:tc>
      </w:tr>
      <w:tr>
        <w:tc>
          <w:tcPr>
            <w:tcW w:type="dxa" w:w="2800"/>
            <w:tcMar>
              <w:top w:type="dxa" w:w="60"/>
              <w:left w:type="dxa" w:w="80"/>
              <w:bottom w:type="dxa" w:w="60"/>
              <w:right w:type="dxa" w:w="80"/>
            </w:tcMar>
          </w:tcPr>
          <w:p>
            <w:pPr>
              <w:spacing w:after="30" w:line="250"/>
              <w:jc w:val="left"/>
            </w:pPr>
            <w:r>
              <w:rPr>
                <w:b w:val="false"/>
                <w:bCs w:val="false"/>
                <w:color w:val="000000"/>
                <w:sz w:val="17"/>
                <w:szCs w:val="17"/>
              </w:rPr>
              <w:t xml:space="preserve">Asociaciones</w:t>
            </w:r>
          </w:p>
        </w:tc>
        <w:tc>
          <w:tcPr>
            <w:tcW w:type="dxa" w:w="3220"/>
            <w:tcMar>
              <w:top w:type="dxa" w:w="60"/>
              <w:left w:type="dxa" w:w="80"/>
              <w:bottom w:type="dxa" w:w="60"/>
              <w:right w:type="dxa" w:w="80"/>
            </w:tcMar>
          </w:tcPr>
          <w:p>
            <w:pPr>
              <w:spacing w:after="30" w:line="250"/>
              <w:jc w:val="left"/>
            </w:pPr>
            <w:r>
              <w:rPr>
                <w:b w:val="false"/>
                <w:bCs w:val="false"/>
                <w:color w:val="000000"/>
                <w:sz w:val="17"/>
                <w:szCs w:val="17"/>
              </w:rPr>
              <w:t xml:space="preserve">Intermediarias territoriales.</w:t>
            </w:r>
          </w:p>
        </w:tc>
        <w:tc>
          <w:tcPr>
            <w:tcW w:type="dxa" w:w="3620"/>
            <w:tcMar>
              <w:top w:type="dxa" w:w="60"/>
              <w:left w:type="dxa" w:w="80"/>
              <w:bottom w:type="dxa" w:w="60"/>
              <w:right w:type="dxa" w:w="80"/>
            </w:tcMar>
          </w:tcPr>
          <w:p>
            <w:pPr>
              <w:spacing w:after="30" w:line="250"/>
              <w:jc w:val="left"/>
            </w:pPr>
            <w:r>
              <w:rPr>
                <w:b w:val="false"/>
                <w:bCs w:val="false"/>
                <w:color w:val="000000"/>
                <w:sz w:val="17"/>
                <w:szCs w:val="17"/>
              </w:rPr>
              <w:t xml:space="preserve">Punto de asistencia y validación de la solución.</w:t>
            </w:r>
          </w:p>
        </w:tc>
      </w:tr>
      <w:tr>
        <w:tc>
          <w:tcPr>
            <w:tcW w:type="dxa" w:w="2800"/>
            <w:shd w:fill="F2F2F2" w:color="auto" w:val="clear"/>
            <w:tcMar>
              <w:top w:type="dxa" w:w="60"/>
              <w:left w:type="dxa" w:w="80"/>
              <w:bottom w:type="dxa" w:w="60"/>
              <w:right w:type="dxa" w:w="80"/>
            </w:tcMar>
          </w:tcPr>
          <w:p>
            <w:pPr>
              <w:spacing w:after="30" w:line="250"/>
              <w:jc w:val="left"/>
            </w:pPr>
            <w:r>
              <w:rPr>
                <w:b w:val="false"/>
                <w:bCs w:val="false"/>
                <w:color w:val="000000"/>
                <w:sz w:val="17"/>
                <w:szCs w:val="17"/>
              </w:rPr>
              <w:t xml:space="preserve">Funcionarios del MAG</w:t>
            </w:r>
          </w:p>
        </w:tc>
        <w:tc>
          <w:tcPr>
            <w:tcW w:type="dxa" w:w="3220"/>
            <w:shd w:fill="F2F2F2" w:color="auto" w:val="clear"/>
            <w:tcMar>
              <w:top w:type="dxa" w:w="60"/>
              <w:left w:type="dxa" w:w="80"/>
              <w:bottom w:type="dxa" w:w="60"/>
              <w:right w:type="dxa" w:w="80"/>
            </w:tcMar>
          </w:tcPr>
          <w:p>
            <w:pPr>
              <w:spacing w:after="30" w:line="250"/>
              <w:jc w:val="left"/>
            </w:pPr>
            <w:r>
              <w:rPr>
                <w:b w:val="false"/>
                <w:bCs w:val="false"/>
                <w:color w:val="000000"/>
                <w:sz w:val="17"/>
                <w:szCs w:val="17"/>
              </w:rPr>
              <w:t xml:space="preserve">Analistas jurídicos y técnicos inspectores.</w:t>
            </w:r>
          </w:p>
        </w:tc>
        <w:tc>
          <w:tcPr>
            <w:tcW w:type="dxa" w:w="3620"/>
            <w:shd w:fill="F2F2F2" w:color="auto" w:val="clear"/>
            <w:tcMar>
              <w:top w:type="dxa" w:w="60"/>
              <w:left w:type="dxa" w:w="80"/>
              <w:bottom w:type="dxa" w:w="60"/>
              <w:right w:type="dxa" w:w="80"/>
            </w:tcMar>
          </w:tcPr>
          <w:p>
            <w:pPr>
              <w:spacing w:after="30" w:line="250"/>
              <w:jc w:val="left"/>
            </w:pPr>
            <w:r>
              <w:rPr>
                <w:b w:val="false"/>
                <w:bCs w:val="false"/>
                <w:color w:val="000000"/>
                <w:sz w:val="17"/>
                <w:szCs w:val="17"/>
              </w:rPr>
              <w:t xml:space="preserve">Validaciones automáticas y agenda digital de inspecciones.</w:t>
            </w:r>
          </w:p>
        </w:tc>
      </w:tr>
      <w:tr>
        <w:tc>
          <w:tcPr>
            <w:tcW w:type="dxa" w:w="2800"/>
            <w:tcMar>
              <w:top w:type="dxa" w:w="60"/>
              <w:left w:type="dxa" w:w="80"/>
              <w:bottom w:type="dxa" w:w="60"/>
              <w:right w:type="dxa" w:w="80"/>
            </w:tcMar>
          </w:tcPr>
          <w:p>
            <w:pPr>
              <w:spacing w:after="30" w:line="250"/>
              <w:jc w:val="left"/>
            </w:pPr>
            <w:r>
              <w:rPr>
                <w:b w:val="false"/>
                <w:bCs w:val="false"/>
                <w:color w:val="000000"/>
                <w:sz w:val="17"/>
                <w:szCs w:val="17"/>
              </w:rPr>
              <w:t xml:space="preserve">Ciudadanía y actores de cadena</w:t>
            </w:r>
          </w:p>
        </w:tc>
        <w:tc>
          <w:tcPr>
            <w:tcW w:type="dxa" w:w="3220"/>
            <w:tcMar>
              <w:top w:type="dxa" w:w="60"/>
              <w:left w:type="dxa" w:w="80"/>
              <w:bottom w:type="dxa" w:w="60"/>
              <w:right w:type="dxa" w:w="80"/>
            </w:tcMar>
          </w:tcPr>
          <w:p>
            <w:pPr>
              <w:spacing w:after="30" w:line="250"/>
              <w:jc w:val="left"/>
            </w:pPr>
            <w:r>
              <w:rPr>
                <w:b w:val="false"/>
                <w:bCs w:val="false"/>
                <w:color w:val="000000"/>
                <w:sz w:val="17"/>
                <w:szCs w:val="17"/>
              </w:rPr>
              <w:t xml:space="preserve">Exportadores, GAD, entidades de control.</w:t>
            </w:r>
          </w:p>
        </w:tc>
        <w:tc>
          <w:tcPr>
            <w:tcW w:type="dxa" w:w="3620"/>
            <w:tcMar>
              <w:top w:type="dxa" w:w="60"/>
              <w:left w:type="dxa" w:w="80"/>
              <w:bottom w:type="dxa" w:w="60"/>
              <w:right w:type="dxa" w:w="80"/>
            </w:tcMar>
          </w:tcPr>
          <w:p>
            <w:pPr>
              <w:spacing w:after="30" w:line="250"/>
              <w:jc w:val="left"/>
            </w:pPr>
            <w:r>
              <w:rPr>
                <w:b w:val="false"/>
                <w:bCs w:val="false"/>
                <w:color w:val="000000"/>
                <w:sz w:val="17"/>
                <w:szCs w:val="17"/>
              </w:rPr>
              <w:t xml:space="preserve">Información sectorial confiable y pública.</w:t>
            </w:r>
          </w:p>
        </w:tc>
      </w:tr>
    </w:tbl>
    <w:p>
      <w:pPr>
        <w:spacing w:after="100" w:line="264"/>
        <w:jc w:val="both"/>
      </w:pPr>
      <w:r>
        <w:rPr>
          <w:b w:val="false"/>
          <w:bCs w:val="false"/>
          <w:i w:val="false"/>
          <w:iCs w:val="false"/>
          <w:color w:val="000000"/>
          <w:sz w:val="20"/>
          <w:szCs w:val="20"/>
        </w:rPr>
        <w:t xml:space="preserve">Los perfiles y el mapa de experiencia (customer journey) fueron construidos con la herramienta de arquetipos de usuario del Design Thinking (etapa Empatizar); su detalle consta en el Anexo F.</w:t>
      </w:r>
    </w:p>
    <w:p>
      <w:pPr>
        <w:spacing w:after="60" w:before="180"/>
      </w:pPr>
      <w:r>
        <w:rPr>
          <w:b/>
          <w:bCs/>
          <w:color w:val="5B2D90"/>
          <w:sz w:val="22"/>
          <w:szCs w:val="22"/>
        </w:rPr>
        <w:t xml:space="preserve">10. Plan de tareas y cronograma</w:t>
      </w:r>
    </w:p>
    <w:tbl>
      <w:tblPr>
        <w:tblW w:type="dxa" w:w="9640"/>
        <w:tblBorders>
          <w:top w:val="single" w:color="9E9E9E" w:sz="4"/>
          <w:left w:val="single" w:color="9E9E9E" w:sz="4"/>
          <w:bottom w:val="single" w:color="9E9E9E" w:sz="4"/>
          <w:right w:val="single" w:color="9E9E9E" w:sz="4"/>
          <w:insideH w:val="single" w:color="9E9E9E" w:sz="4"/>
          <w:insideV w:val="single" w:color="9E9E9E" w:sz="4"/>
        </w:tblBorders>
      </w:tblPr>
      <w:tblGrid>
        <w:gridCol w:w="2000"/>
        <w:gridCol w:w="4640"/>
        <w:gridCol w:w="1500"/>
        <w:gridCol w:w="1500"/>
      </w:tblGrid>
      <w:tr>
        <w:trPr>
          <w:tblHeader/>
        </w:trPr>
        <w:tc>
          <w:tcPr>
            <w:tcW w:type="dxa" w:w="2000"/>
            <w:shd w:fill="5B2D90" w:color="auto" w:val="clear"/>
            <w:tcMar>
              <w:top w:type="dxa" w:w="60"/>
              <w:left w:type="dxa" w:w="80"/>
              <w:bottom w:type="dxa" w:w="60"/>
              <w:right w:type="dxa" w:w="80"/>
            </w:tcMar>
          </w:tcPr>
          <w:p>
            <w:pPr>
              <w:spacing w:after="30" w:line="250"/>
              <w:jc w:val="left"/>
            </w:pPr>
            <w:r>
              <w:rPr>
                <w:b/>
                <w:bCs/>
                <w:color w:val="FFFFFF"/>
                <w:sz w:val="17"/>
                <w:szCs w:val="17"/>
              </w:rPr>
              <w:t xml:space="preserve">Fase Design Thinking</w:t>
            </w:r>
          </w:p>
        </w:tc>
        <w:tc>
          <w:tcPr>
            <w:tcW w:type="dxa" w:w="4640"/>
            <w:shd w:fill="5B2D90" w:color="auto" w:val="clear"/>
            <w:tcMar>
              <w:top w:type="dxa" w:w="60"/>
              <w:left w:type="dxa" w:w="80"/>
              <w:bottom w:type="dxa" w:w="60"/>
              <w:right w:type="dxa" w:w="80"/>
            </w:tcMar>
          </w:tcPr>
          <w:p>
            <w:pPr>
              <w:spacing w:after="30" w:line="250"/>
              <w:jc w:val="left"/>
            </w:pPr>
            <w:r>
              <w:rPr>
                <w:b/>
                <w:bCs/>
                <w:color w:val="FFFFFF"/>
                <w:sz w:val="17"/>
                <w:szCs w:val="17"/>
              </w:rPr>
              <w:t xml:space="preserve">Actividad</w:t>
            </w:r>
          </w:p>
        </w:tc>
        <w:tc>
          <w:tcPr>
            <w:tcW w:type="dxa" w:w="1500"/>
            <w:shd w:fill="5B2D90" w:color="auto" w:val="clear"/>
            <w:tcMar>
              <w:top w:type="dxa" w:w="60"/>
              <w:left w:type="dxa" w:w="80"/>
              <w:bottom w:type="dxa" w:w="60"/>
              <w:right w:type="dxa" w:w="80"/>
            </w:tcMar>
          </w:tcPr>
          <w:p>
            <w:pPr>
              <w:spacing w:after="30" w:line="250"/>
              <w:jc w:val="left"/>
            </w:pPr>
            <w:r>
              <w:rPr>
                <w:b/>
                <w:bCs/>
                <w:color w:val="FFFFFF"/>
                <w:sz w:val="17"/>
                <w:szCs w:val="17"/>
              </w:rPr>
              <w:t xml:space="preserve">Inicio</w:t>
            </w:r>
          </w:p>
        </w:tc>
        <w:tc>
          <w:tcPr>
            <w:tcW w:type="dxa" w:w="1500"/>
            <w:shd w:fill="5B2D90" w:color="auto" w:val="clear"/>
            <w:tcMar>
              <w:top w:type="dxa" w:w="60"/>
              <w:left w:type="dxa" w:w="80"/>
              <w:bottom w:type="dxa" w:w="60"/>
              <w:right w:type="dxa" w:w="80"/>
            </w:tcMar>
          </w:tcPr>
          <w:p>
            <w:pPr>
              <w:spacing w:after="30" w:line="250"/>
              <w:jc w:val="left"/>
            </w:pPr>
            <w:r>
              <w:rPr>
                <w:b/>
                <w:bCs/>
                <w:color w:val="FFFFFF"/>
                <w:sz w:val="17"/>
                <w:szCs w:val="17"/>
              </w:rPr>
              <w:t xml:space="preserve">Fin</w:t>
            </w:r>
          </w:p>
        </w:tc>
      </w:tr>
      <w:tr>
        <w:tc>
          <w:tcPr>
            <w:tcW w:type="dxa" w:w="2000"/>
            <w:tcMar>
              <w:top w:type="dxa" w:w="60"/>
              <w:left w:type="dxa" w:w="80"/>
              <w:bottom w:type="dxa" w:w="60"/>
              <w:right w:type="dxa" w:w="80"/>
            </w:tcMar>
          </w:tcPr>
          <w:p>
            <w:pPr>
              <w:spacing w:after="30" w:line="250"/>
              <w:jc w:val="left"/>
            </w:pPr>
            <w:r>
              <w:rPr>
                <w:b w:val="false"/>
                <w:bCs w:val="false"/>
                <w:color w:val="000000"/>
                <w:sz w:val="17"/>
                <w:szCs w:val="17"/>
              </w:rPr>
              <w:t xml:space="preserve">Empatizar</w:t>
            </w:r>
          </w:p>
        </w:tc>
        <w:tc>
          <w:tcPr>
            <w:tcW w:type="dxa" w:w="4640"/>
            <w:tcMar>
              <w:top w:type="dxa" w:w="60"/>
              <w:left w:type="dxa" w:w="80"/>
              <w:bottom w:type="dxa" w:w="60"/>
              <w:right w:type="dxa" w:w="80"/>
            </w:tcMar>
          </w:tcPr>
          <w:p>
            <w:pPr>
              <w:spacing w:after="30" w:line="250"/>
              <w:jc w:val="left"/>
            </w:pPr>
            <w:r>
              <w:rPr>
                <w:b w:val="false"/>
                <w:bCs w:val="false"/>
                <w:color w:val="000000"/>
                <w:sz w:val="17"/>
                <w:szCs w:val="17"/>
              </w:rPr>
              <w:t xml:space="preserve">Levantamiento de instrumentos y trabajo de campo (encuesta, entrevistas, observación).</w:t>
            </w:r>
          </w:p>
        </w:tc>
        <w:tc>
          <w:tcPr>
            <w:tcW w:type="dxa" w:w="1500"/>
            <w:tcMar>
              <w:top w:type="dxa" w:w="60"/>
              <w:left w:type="dxa" w:w="80"/>
              <w:bottom w:type="dxa" w:w="60"/>
              <w:right w:type="dxa" w:w="80"/>
            </w:tcMar>
          </w:tcPr>
          <w:p>
            <w:pPr>
              <w:spacing w:after="30" w:line="250"/>
              <w:jc w:val="left"/>
            </w:pPr>
            <w:r>
              <w:rPr>
                <w:b w:val="false"/>
                <w:bCs w:val="false"/>
                <w:color w:val="000000"/>
                <w:sz w:val="17"/>
                <w:szCs w:val="17"/>
              </w:rPr>
              <w:t xml:space="preserve">01/10/26</w:t>
            </w:r>
          </w:p>
        </w:tc>
        <w:tc>
          <w:tcPr>
            <w:tcW w:type="dxa" w:w="1500"/>
            <w:tcMar>
              <w:top w:type="dxa" w:w="60"/>
              <w:left w:type="dxa" w:w="80"/>
              <w:bottom w:type="dxa" w:w="60"/>
              <w:right w:type="dxa" w:w="80"/>
            </w:tcMar>
          </w:tcPr>
          <w:p>
            <w:pPr>
              <w:spacing w:after="30" w:line="250"/>
              <w:jc w:val="left"/>
            </w:pPr>
            <w:r>
              <w:rPr>
                <w:b w:val="false"/>
                <w:bCs w:val="false"/>
                <w:color w:val="000000"/>
                <w:sz w:val="17"/>
                <w:szCs w:val="17"/>
              </w:rPr>
              <w:t xml:space="preserve">20/10/26</w:t>
            </w:r>
          </w:p>
        </w:tc>
      </w:tr>
      <w:tr>
        <w:tc>
          <w:tcPr>
            <w:tcW w:type="dxa" w:w="2000"/>
            <w:shd w:fill="F2F2F2" w:color="auto" w:val="clear"/>
            <w:tcMar>
              <w:top w:type="dxa" w:w="60"/>
              <w:left w:type="dxa" w:w="80"/>
              <w:bottom w:type="dxa" w:w="60"/>
              <w:right w:type="dxa" w:w="80"/>
            </w:tcMar>
          </w:tcPr>
          <w:p>
            <w:pPr>
              <w:spacing w:after="30" w:line="250"/>
              <w:jc w:val="left"/>
            </w:pPr>
            <w:r>
              <w:rPr>
                <w:b w:val="false"/>
                <w:bCs w:val="false"/>
                <w:color w:val="000000"/>
                <w:sz w:val="17"/>
                <w:szCs w:val="17"/>
              </w:rPr>
              <w:t xml:space="preserve">Definir</w:t>
            </w:r>
          </w:p>
        </w:tc>
        <w:tc>
          <w:tcPr>
            <w:tcW w:type="dxa" w:w="4640"/>
            <w:shd w:fill="F2F2F2" w:color="auto" w:val="clear"/>
            <w:tcMar>
              <w:top w:type="dxa" w:w="60"/>
              <w:left w:type="dxa" w:w="80"/>
              <w:bottom w:type="dxa" w:w="60"/>
              <w:right w:type="dxa" w:w="80"/>
            </w:tcMar>
          </w:tcPr>
          <w:p>
            <w:pPr>
              <w:spacing w:after="30" w:line="250"/>
              <w:jc w:val="left"/>
            </w:pPr>
            <w:r>
              <w:rPr>
                <w:b w:val="false"/>
                <w:bCs w:val="false"/>
                <w:color w:val="000000"/>
                <w:sz w:val="17"/>
                <w:szCs w:val="17"/>
              </w:rPr>
              <w:t xml:space="preserve">Árbol de problemas, mapa de experiencia, línea base de indicadores.</w:t>
            </w:r>
          </w:p>
        </w:tc>
        <w:tc>
          <w:tcPr>
            <w:tcW w:type="dxa" w:w="1500"/>
            <w:shd w:fill="F2F2F2" w:color="auto" w:val="clear"/>
            <w:tcMar>
              <w:top w:type="dxa" w:w="60"/>
              <w:left w:type="dxa" w:w="80"/>
              <w:bottom w:type="dxa" w:w="60"/>
              <w:right w:type="dxa" w:w="80"/>
            </w:tcMar>
          </w:tcPr>
          <w:p>
            <w:pPr>
              <w:spacing w:after="30" w:line="250"/>
              <w:jc w:val="left"/>
            </w:pPr>
            <w:r>
              <w:rPr>
                <w:b w:val="false"/>
                <w:bCs w:val="false"/>
                <w:color w:val="000000"/>
                <w:sz w:val="17"/>
                <w:szCs w:val="17"/>
              </w:rPr>
              <w:t xml:space="preserve">21/10/26</w:t>
            </w:r>
          </w:p>
        </w:tc>
        <w:tc>
          <w:tcPr>
            <w:tcW w:type="dxa" w:w="1500"/>
            <w:shd w:fill="F2F2F2" w:color="auto" w:val="clear"/>
            <w:tcMar>
              <w:top w:type="dxa" w:w="60"/>
              <w:left w:type="dxa" w:w="80"/>
              <w:bottom w:type="dxa" w:w="60"/>
              <w:right w:type="dxa" w:w="80"/>
            </w:tcMar>
          </w:tcPr>
          <w:p>
            <w:pPr>
              <w:spacing w:after="30" w:line="250"/>
              <w:jc w:val="left"/>
            </w:pPr>
            <w:r>
              <w:rPr>
                <w:b w:val="false"/>
                <w:bCs w:val="false"/>
                <w:color w:val="000000"/>
                <w:sz w:val="17"/>
                <w:szCs w:val="17"/>
              </w:rPr>
              <w:t xml:space="preserve">30/10/26</w:t>
            </w:r>
          </w:p>
        </w:tc>
      </w:tr>
      <w:tr>
        <w:tc>
          <w:tcPr>
            <w:tcW w:type="dxa" w:w="2000"/>
            <w:tcMar>
              <w:top w:type="dxa" w:w="60"/>
              <w:left w:type="dxa" w:w="80"/>
              <w:bottom w:type="dxa" w:w="60"/>
              <w:right w:type="dxa" w:w="80"/>
            </w:tcMar>
          </w:tcPr>
          <w:p>
            <w:pPr>
              <w:spacing w:after="30" w:line="250"/>
              <w:jc w:val="left"/>
            </w:pPr>
            <w:r>
              <w:rPr>
                <w:b w:val="false"/>
                <w:bCs w:val="false"/>
                <w:color w:val="000000"/>
                <w:sz w:val="17"/>
                <w:szCs w:val="17"/>
              </w:rPr>
              <w:t xml:space="preserve">Idear</w:t>
            </w:r>
          </w:p>
        </w:tc>
        <w:tc>
          <w:tcPr>
            <w:tcW w:type="dxa" w:w="4640"/>
            <w:tcMar>
              <w:top w:type="dxa" w:w="60"/>
              <w:left w:type="dxa" w:w="80"/>
              <w:bottom w:type="dxa" w:w="60"/>
              <w:right w:type="dxa" w:w="80"/>
            </w:tcMar>
          </w:tcPr>
          <w:p>
            <w:pPr>
              <w:spacing w:after="30" w:line="250"/>
              <w:jc w:val="left"/>
            </w:pPr>
            <w:r>
              <w:rPr>
                <w:b w:val="false"/>
                <w:bCs w:val="false"/>
                <w:color w:val="000000"/>
                <w:sz w:val="17"/>
                <w:szCs w:val="17"/>
              </w:rPr>
              <w:t xml:space="preserve">Banco de ideas y matriz de priorización.</w:t>
            </w:r>
          </w:p>
        </w:tc>
        <w:tc>
          <w:tcPr>
            <w:tcW w:type="dxa" w:w="1500"/>
            <w:tcMar>
              <w:top w:type="dxa" w:w="60"/>
              <w:left w:type="dxa" w:w="80"/>
              <w:bottom w:type="dxa" w:w="60"/>
              <w:right w:type="dxa" w:w="80"/>
            </w:tcMar>
          </w:tcPr>
          <w:p>
            <w:pPr>
              <w:spacing w:after="30" w:line="250"/>
              <w:jc w:val="left"/>
            </w:pPr>
            <w:r>
              <w:rPr>
                <w:b w:val="false"/>
                <w:bCs w:val="false"/>
                <w:color w:val="000000"/>
                <w:sz w:val="17"/>
                <w:szCs w:val="17"/>
              </w:rPr>
              <w:t xml:space="preserve">31/10/26</w:t>
            </w:r>
          </w:p>
        </w:tc>
        <w:tc>
          <w:tcPr>
            <w:tcW w:type="dxa" w:w="1500"/>
            <w:tcMar>
              <w:top w:type="dxa" w:w="60"/>
              <w:left w:type="dxa" w:w="80"/>
              <w:bottom w:type="dxa" w:w="60"/>
              <w:right w:type="dxa" w:w="80"/>
            </w:tcMar>
          </w:tcPr>
          <w:p>
            <w:pPr>
              <w:spacing w:after="30" w:line="250"/>
              <w:jc w:val="left"/>
            </w:pPr>
            <w:r>
              <w:rPr>
                <w:b w:val="false"/>
                <w:bCs w:val="false"/>
                <w:color w:val="000000"/>
                <w:sz w:val="17"/>
                <w:szCs w:val="17"/>
              </w:rPr>
              <w:t xml:space="preserve">05/11/26</w:t>
            </w:r>
          </w:p>
        </w:tc>
      </w:tr>
      <w:tr>
        <w:tc>
          <w:tcPr>
            <w:tcW w:type="dxa" w:w="2000"/>
            <w:shd w:fill="F2F2F2" w:color="auto" w:val="clear"/>
            <w:tcMar>
              <w:top w:type="dxa" w:w="60"/>
              <w:left w:type="dxa" w:w="80"/>
              <w:bottom w:type="dxa" w:w="60"/>
              <w:right w:type="dxa" w:w="80"/>
            </w:tcMar>
          </w:tcPr>
          <w:p>
            <w:pPr>
              <w:spacing w:after="30" w:line="250"/>
              <w:jc w:val="left"/>
            </w:pPr>
            <w:r>
              <w:rPr>
                <w:b w:val="false"/>
                <w:bCs w:val="false"/>
                <w:color w:val="000000"/>
                <w:sz w:val="17"/>
                <w:szCs w:val="17"/>
              </w:rPr>
              <w:t xml:space="preserve">Prototipar</w:t>
            </w:r>
          </w:p>
        </w:tc>
        <w:tc>
          <w:tcPr>
            <w:tcW w:type="dxa" w:w="4640"/>
            <w:shd w:fill="F2F2F2" w:color="auto" w:val="clear"/>
            <w:tcMar>
              <w:top w:type="dxa" w:w="60"/>
              <w:left w:type="dxa" w:w="80"/>
              <w:bottom w:type="dxa" w:w="60"/>
              <w:right w:type="dxa" w:w="80"/>
            </w:tcMar>
          </w:tcPr>
          <w:p>
            <w:pPr>
              <w:spacing w:after="30" w:line="250"/>
              <w:jc w:val="left"/>
            </w:pPr>
            <w:r>
              <w:rPr>
                <w:b w:val="false"/>
                <w:bCs w:val="false"/>
                <w:color w:val="000000"/>
                <w:sz w:val="17"/>
                <w:szCs w:val="17"/>
              </w:rPr>
              <w:t xml:space="preserve">Construcción del prototipo navegable con interoperabilidad simulada.</w:t>
            </w:r>
          </w:p>
        </w:tc>
        <w:tc>
          <w:tcPr>
            <w:tcW w:type="dxa" w:w="1500"/>
            <w:shd w:fill="F2F2F2" w:color="auto" w:val="clear"/>
            <w:tcMar>
              <w:top w:type="dxa" w:w="60"/>
              <w:left w:type="dxa" w:w="80"/>
              <w:bottom w:type="dxa" w:w="60"/>
              <w:right w:type="dxa" w:w="80"/>
            </w:tcMar>
          </w:tcPr>
          <w:p>
            <w:pPr>
              <w:spacing w:after="30" w:line="250"/>
              <w:jc w:val="left"/>
            </w:pPr>
            <w:r>
              <w:rPr>
                <w:b w:val="false"/>
                <w:bCs w:val="false"/>
                <w:color w:val="000000"/>
                <w:sz w:val="17"/>
                <w:szCs w:val="17"/>
              </w:rPr>
              <w:t xml:space="preserve">06/11/26</w:t>
            </w:r>
          </w:p>
        </w:tc>
        <w:tc>
          <w:tcPr>
            <w:tcW w:type="dxa" w:w="1500"/>
            <w:shd w:fill="F2F2F2" w:color="auto" w:val="clear"/>
            <w:tcMar>
              <w:top w:type="dxa" w:w="60"/>
              <w:left w:type="dxa" w:w="80"/>
              <w:bottom w:type="dxa" w:w="60"/>
              <w:right w:type="dxa" w:w="80"/>
            </w:tcMar>
          </w:tcPr>
          <w:p>
            <w:pPr>
              <w:spacing w:after="30" w:line="250"/>
              <w:jc w:val="left"/>
            </w:pPr>
            <w:r>
              <w:rPr>
                <w:b w:val="false"/>
                <w:bCs w:val="false"/>
                <w:color w:val="000000"/>
                <w:sz w:val="17"/>
                <w:szCs w:val="17"/>
              </w:rPr>
              <w:t xml:space="preserve">15/11/26</w:t>
            </w:r>
          </w:p>
        </w:tc>
      </w:tr>
      <w:tr>
        <w:tc>
          <w:tcPr>
            <w:tcW w:type="dxa" w:w="2000"/>
            <w:tcMar>
              <w:top w:type="dxa" w:w="60"/>
              <w:left w:type="dxa" w:w="80"/>
              <w:bottom w:type="dxa" w:w="60"/>
              <w:right w:type="dxa" w:w="80"/>
            </w:tcMar>
          </w:tcPr>
          <w:p>
            <w:pPr>
              <w:spacing w:after="30" w:line="250"/>
              <w:jc w:val="left"/>
            </w:pPr>
            <w:r>
              <w:rPr>
                <w:b w:val="false"/>
                <w:bCs w:val="false"/>
                <w:color w:val="000000"/>
                <w:sz w:val="17"/>
                <w:szCs w:val="17"/>
              </w:rPr>
              <w:t xml:space="preserve">Evaluar</w:t>
            </w:r>
          </w:p>
        </w:tc>
        <w:tc>
          <w:tcPr>
            <w:tcW w:type="dxa" w:w="4640"/>
            <w:tcMar>
              <w:top w:type="dxa" w:w="60"/>
              <w:left w:type="dxa" w:w="80"/>
              <w:bottom w:type="dxa" w:w="60"/>
              <w:right w:type="dxa" w:w="80"/>
            </w:tcMar>
          </w:tcPr>
          <w:p>
            <w:pPr>
              <w:spacing w:after="30" w:line="250"/>
              <w:jc w:val="left"/>
            </w:pPr>
            <w:r>
              <w:rPr>
                <w:b w:val="false"/>
                <w:bCs w:val="false"/>
                <w:color w:val="000000"/>
                <w:sz w:val="17"/>
                <w:szCs w:val="17"/>
              </w:rPr>
              <w:t xml:space="preserve">Pruebas de usabilidad, medición del 'después' y tablero comparativo.</w:t>
            </w:r>
          </w:p>
        </w:tc>
        <w:tc>
          <w:tcPr>
            <w:tcW w:type="dxa" w:w="1500"/>
            <w:tcMar>
              <w:top w:type="dxa" w:w="60"/>
              <w:left w:type="dxa" w:w="80"/>
              <w:bottom w:type="dxa" w:w="60"/>
              <w:right w:type="dxa" w:w="80"/>
            </w:tcMar>
          </w:tcPr>
          <w:p>
            <w:pPr>
              <w:spacing w:after="30" w:line="250"/>
              <w:jc w:val="left"/>
            </w:pPr>
            <w:r>
              <w:rPr>
                <w:b w:val="false"/>
                <w:bCs w:val="false"/>
                <w:color w:val="000000"/>
                <w:sz w:val="17"/>
                <w:szCs w:val="17"/>
              </w:rPr>
              <w:t xml:space="preserve">16/11/26</w:t>
            </w:r>
          </w:p>
        </w:tc>
        <w:tc>
          <w:tcPr>
            <w:tcW w:type="dxa" w:w="1500"/>
            <w:tcMar>
              <w:top w:type="dxa" w:w="60"/>
              <w:left w:type="dxa" w:w="80"/>
              <w:bottom w:type="dxa" w:w="60"/>
              <w:right w:type="dxa" w:w="80"/>
            </w:tcMar>
          </w:tcPr>
          <w:p>
            <w:pPr>
              <w:spacing w:after="30" w:line="250"/>
              <w:jc w:val="left"/>
            </w:pPr>
            <w:r>
              <w:rPr>
                <w:b w:val="false"/>
                <w:bCs w:val="false"/>
                <w:color w:val="000000"/>
                <w:sz w:val="17"/>
                <w:szCs w:val="17"/>
              </w:rPr>
              <w:t xml:space="preserve">25/11/26</w:t>
            </w:r>
          </w:p>
        </w:tc>
      </w:tr>
      <w:tr>
        <w:tc>
          <w:tcPr>
            <w:tcW w:type="dxa" w:w="2000"/>
            <w:shd w:fill="F2F2F2" w:color="auto" w:val="clear"/>
            <w:tcMar>
              <w:top w:type="dxa" w:w="60"/>
              <w:left w:type="dxa" w:w="80"/>
              <w:bottom w:type="dxa" w:w="60"/>
              <w:right w:type="dxa" w:w="80"/>
            </w:tcMar>
          </w:tcPr>
          <w:p>
            <w:pPr>
              <w:spacing w:after="30" w:line="250"/>
              <w:jc w:val="left"/>
            </w:pPr>
            <w:r>
              <w:rPr>
                <w:b w:val="false"/>
                <w:bCs w:val="false"/>
                <w:color w:val="000000"/>
                <w:sz w:val="17"/>
                <w:szCs w:val="17"/>
              </w:rPr>
              <w:t xml:space="preserve">Cierre</w:t>
            </w:r>
          </w:p>
        </w:tc>
        <w:tc>
          <w:tcPr>
            <w:tcW w:type="dxa" w:w="4640"/>
            <w:shd w:fill="F2F2F2" w:color="auto" w:val="clear"/>
            <w:tcMar>
              <w:top w:type="dxa" w:w="60"/>
              <w:left w:type="dxa" w:w="80"/>
              <w:bottom w:type="dxa" w:w="60"/>
              <w:right w:type="dxa" w:w="80"/>
            </w:tcMar>
          </w:tcPr>
          <w:p>
            <w:pPr>
              <w:spacing w:after="30" w:line="250"/>
              <w:jc w:val="left"/>
            </w:pPr>
            <w:r>
              <w:rPr>
                <w:b w:val="false"/>
                <w:bCs w:val="false"/>
                <w:color w:val="000000"/>
                <w:sz w:val="17"/>
                <w:szCs w:val="17"/>
              </w:rPr>
              <w:t xml:space="preserve">Redacción del informe final y presentación.</w:t>
            </w:r>
          </w:p>
        </w:tc>
        <w:tc>
          <w:tcPr>
            <w:tcW w:type="dxa" w:w="1500"/>
            <w:shd w:fill="F2F2F2" w:color="auto" w:val="clear"/>
            <w:tcMar>
              <w:top w:type="dxa" w:w="60"/>
              <w:left w:type="dxa" w:w="80"/>
              <w:bottom w:type="dxa" w:w="60"/>
              <w:right w:type="dxa" w:w="80"/>
            </w:tcMar>
          </w:tcPr>
          <w:p>
            <w:pPr>
              <w:spacing w:after="30" w:line="250"/>
              <w:jc w:val="left"/>
            </w:pPr>
            <w:r>
              <w:rPr>
                <w:b w:val="false"/>
                <w:bCs w:val="false"/>
                <w:color w:val="000000"/>
                <w:sz w:val="17"/>
                <w:szCs w:val="17"/>
              </w:rPr>
              <w:t xml:space="preserve">26/11/26</w:t>
            </w:r>
          </w:p>
        </w:tc>
        <w:tc>
          <w:tcPr>
            <w:tcW w:type="dxa" w:w="1500"/>
            <w:shd w:fill="F2F2F2" w:color="auto" w:val="clear"/>
            <w:tcMar>
              <w:top w:type="dxa" w:w="60"/>
              <w:left w:type="dxa" w:w="80"/>
              <w:bottom w:type="dxa" w:w="60"/>
              <w:right w:type="dxa" w:w="80"/>
            </w:tcMar>
          </w:tcPr>
          <w:p>
            <w:pPr>
              <w:spacing w:after="30" w:line="250"/>
              <w:jc w:val="left"/>
            </w:pPr>
            <w:r>
              <w:rPr>
                <w:b w:val="false"/>
                <w:bCs w:val="false"/>
                <w:color w:val="000000"/>
                <w:sz w:val="17"/>
                <w:szCs w:val="17"/>
              </w:rPr>
              <w:t xml:space="preserve">30/11/26</w:t>
            </w:r>
          </w:p>
        </w:tc>
      </w:tr>
    </w:tbl>
    <w:p>
      <w:pPr>
        <w:spacing w:after="100" w:line="264"/>
        <w:jc w:val="both"/>
      </w:pPr>
      <w:r>
        <w:rPr>
          <w:b w:val="false"/>
          <w:bCs w:val="false"/>
          <w:i w:val="false"/>
          <w:iCs w:val="false"/>
          <w:color w:val="000000"/>
          <w:sz w:val="20"/>
          <w:szCs w:val="20"/>
        </w:rPr>
        <w:t xml:space="preserve">El cronograma detallado por semana, con responsables y evidencias, se entrega como archivo adjunto (cronograma.xlsx).</w:t>
      </w:r>
    </w:p>
    <w:p>
      <w:pPr>
        <w:spacing w:after="60" w:before="180"/>
      </w:pPr>
      <w:r>
        <w:rPr>
          <w:b/>
          <w:bCs/>
          <w:color w:val="5B2D90"/>
          <w:sz w:val="22"/>
          <w:szCs w:val="22"/>
        </w:rPr>
        <w:t xml:space="preserve">11. Recursos y alianzas</w:t>
      </w:r>
    </w:p>
    <w:p>
      <w:pPr>
        <w:pStyle w:val="ListParagraph"/>
        <w:numPr>
          <w:ilvl w:val="0"/>
          <w:numId w:val="2"/>
        </w:numPr>
        <w:spacing w:after="40" w:line="264"/>
        <w:jc w:val="both"/>
      </w:pPr>
      <w:r>
        <w:rPr>
          <w:b/>
          <w:bCs/>
          <w:sz w:val="20"/>
          <w:szCs w:val="20"/>
        </w:rPr>
        <w:t xml:space="preserve">Capital humano: </w:t>
      </w:r>
      <w:r>
        <w:rPr>
          <w:sz w:val="20"/>
          <w:szCs w:val="20"/>
        </w:rPr>
        <w:t xml:space="preserve">cinco integrantes del equipo con roles definidos y acompañamiento del tutor Ing. Juan Carlos Moscoso García.</w:t>
      </w:r>
    </w:p>
    <w:p>
      <w:pPr>
        <w:pStyle w:val="ListParagraph"/>
        <w:numPr>
          <w:ilvl w:val="0"/>
          <w:numId w:val="2"/>
        </w:numPr>
        <w:spacing w:after="40" w:line="264"/>
        <w:jc w:val="both"/>
      </w:pPr>
      <w:r>
        <w:rPr>
          <w:b/>
          <w:bCs/>
          <w:sz w:val="20"/>
          <w:szCs w:val="20"/>
        </w:rPr>
        <w:t xml:space="preserve">Recursos tecnológicos: </w:t>
      </w:r>
      <w:r>
        <w:rPr>
          <w:sz w:val="20"/>
          <w:szCs w:val="20"/>
        </w:rPr>
        <w:t xml:space="preserve">cuenta de Google Workspace para formularios y análisis; entorno de desarrollo web (HTML, CSS, JavaScript) para el prototipo funcional; repositorio en GitHub para versionado y publicación.</w:t>
      </w:r>
    </w:p>
    <w:p>
      <w:pPr>
        <w:pStyle w:val="ListParagraph"/>
        <w:numPr>
          <w:ilvl w:val="0"/>
          <w:numId w:val="2"/>
        </w:numPr>
        <w:spacing w:after="40" w:line="264"/>
        <w:jc w:val="both"/>
      </w:pPr>
      <w:r>
        <w:rPr>
          <w:b/>
          <w:bCs/>
          <w:sz w:val="20"/>
          <w:szCs w:val="20"/>
        </w:rPr>
        <w:t xml:space="preserve">Alianzas necesarias: </w:t>
      </w:r>
      <w:r>
        <w:rPr>
          <w:sz w:val="20"/>
          <w:szCs w:val="20"/>
        </w:rPr>
        <w:t xml:space="preserve">Ministerio de Agricultura y Ganadería (Dirección de Gestión de Musáceas) para acceso a informantes; asociaciones de productores del litoral para la aplicación de encuestas; universidad tutora.</w:t>
      </w:r>
    </w:p>
    <w:p>
      <w:pPr>
        <w:pStyle w:val="ListParagraph"/>
        <w:numPr>
          <w:ilvl w:val="0"/>
          <w:numId w:val="2"/>
        </w:numPr>
        <w:spacing w:after="40" w:line="264"/>
        <w:jc w:val="both"/>
      </w:pPr>
      <w:r>
        <w:rPr>
          <w:b/>
          <w:bCs/>
          <w:sz w:val="20"/>
          <w:szCs w:val="20"/>
        </w:rPr>
        <w:t xml:space="preserve">Alianzas potenciales de implementación: </w:t>
      </w:r>
      <w:r>
        <w:rPr>
          <w:sz w:val="20"/>
          <w:szCs w:val="20"/>
        </w:rPr>
        <w:t xml:space="preserve">Ministerio de Telecomunicaciones y de la Sociedad de la Información (portal gob.ec e interoperabilidad); Registro Civil, SRI, IESS, Registro de la Propiedad y Agrocalidad como entidades interoperables.</w:t>
      </w:r>
    </w:p>
    <w:p>
      <w:pPr>
        <w:spacing w:after="60" w:before="180"/>
      </w:pPr>
      <w:r>
        <w:rPr>
          <w:b/>
          <w:bCs/>
          <w:color w:val="5B2D90"/>
          <w:sz w:val="22"/>
          <w:szCs w:val="22"/>
        </w:rPr>
        <w:t xml:space="preserve">12. Presupuesto (referencial)</w:t>
      </w:r>
    </w:p>
    <w:tbl>
      <w:tblPr>
        <w:tblW w:type="dxa" w:w="9640"/>
        <w:tblBorders>
          <w:top w:val="single" w:color="9E9E9E" w:sz="4"/>
          <w:left w:val="single" w:color="9E9E9E" w:sz="4"/>
          <w:bottom w:val="single" w:color="9E9E9E" w:sz="4"/>
          <w:right w:val="single" w:color="9E9E9E" w:sz="4"/>
          <w:insideH w:val="single" w:color="9E9E9E" w:sz="4"/>
          <w:insideV w:val="single" w:color="9E9E9E" w:sz="4"/>
        </w:tblBorders>
      </w:tblPr>
      <w:tblGrid>
        <w:gridCol w:w="3000"/>
        <w:gridCol w:w="4640"/>
        <w:gridCol w:w="2000"/>
      </w:tblGrid>
      <w:tr>
        <w:trPr>
          <w:tblHeader/>
        </w:trPr>
        <w:tc>
          <w:tcPr>
            <w:tcW w:type="dxa" w:w="3000"/>
            <w:shd w:fill="5B2D90" w:color="auto" w:val="clear"/>
            <w:tcMar>
              <w:top w:type="dxa" w:w="60"/>
              <w:left w:type="dxa" w:w="80"/>
              <w:bottom w:type="dxa" w:w="60"/>
              <w:right w:type="dxa" w:w="80"/>
            </w:tcMar>
          </w:tcPr>
          <w:p>
            <w:pPr>
              <w:spacing w:after="30" w:line="250"/>
              <w:jc w:val="left"/>
            </w:pPr>
            <w:r>
              <w:rPr>
                <w:b/>
                <w:bCs/>
                <w:color w:val="FFFFFF"/>
                <w:sz w:val="17"/>
                <w:szCs w:val="17"/>
              </w:rPr>
              <w:t xml:space="preserve">Categoría</w:t>
            </w:r>
          </w:p>
        </w:tc>
        <w:tc>
          <w:tcPr>
            <w:tcW w:type="dxa" w:w="4640"/>
            <w:shd w:fill="5B2D90" w:color="auto" w:val="clear"/>
            <w:tcMar>
              <w:top w:type="dxa" w:w="60"/>
              <w:left w:type="dxa" w:w="80"/>
              <w:bottom w:type="dxa" w:w="60"/>
              <w:right w:type="dxa" w:w="80"/>
            </w:tcMar>
          </w:tcPr>
          <w:p>
            <w:pPr>
              <w:spacing w:after="30" w:line="250"/>
              <w:jc w:val="left"/>
            </w:pPr>
            <w:r>
              <w:rPr>
                <w:b/>
                <w:bCs/>
                <w:color w:val="FFFFFF"/>
                <w:sz w:val="17"/>
                <w:szCs w:val="17"/>
              </w:rPr>
              <w:t xml:space="preserve">Detalle</w:t>
            </w:r>
          </w:p>
        </w:tc>
        <w:tc>
          <w:tcPr>
            <w:tcW w:type="dxa" w:w="2000"/>
            <w:shd w:fill="5B2D90" w:color="auto" w:val="clear"/>
            <w:tcMar>
              <w:top w:type="dxa" w:w="60"/>
              <w:left w:type="dxa" w:w="80"/>
              <w:bottom w:type="dxa" w:w="60"/>
              <w:right w:type="dxa" w:w="80"/>
            </w:tcMar>
          </w:tcPr>
          <w:p>
            <w:pPr>
              <w:spacing w:after="30" w:line="250"/>
              <w:jc w:val="left"/>
            </w:pPr>
            <w:r>
              <w:rPr>
                <w:b/>
                <w:bCs/>
                <w:color w:val="FFFFFF"/>
                <w:sz w:val="17"/>
                <w:szCs w:val="17"/>
              </w:rPr>
              <w:t xml:space="preserve">USD</w:t>
            </w:r>
          </w:p>
        </w:tc>
      </w:tr>
      <w:tr>
        <w:tc>
          <w:tcPr>
            <w:tcW w:type="dxa" w:w="3000"/>
            <w:tcMar>
              <w:top w:type="dxa" w:w="60"/>
              <w:left w:type="dxa" w:w="80"/>
              <w:bottom w:type="dxa" w:w="60"/>
              <w:right w:type="dxa" w:w="80"/>
            </w:tcMar>
          </w:tcPr>
          <w:p>
            <w:pPr>
              <w:spacing w:after="30" w:line="250"/>
              <w:jc w:val="left"/>
            </w:pPr>
            <w:r>
              <w:rPr>
                <w:b w:val="false"/>
                <w:bCs w:val="false"/>
                <w:color w:val="000000"/>
                <w:sz w:val="17"/>
                <w:szCs w:val="17"/>
              </w:rPr>
              <w:t xml:space="preserve">Recursos humanos</w:t>
            </w:r>
          </w:p>
        </w:tc>
        <w:tc>
          <w:tcPr>
            <w:tcW w:type="dxa" w:w="4640"/>
            <w:tcMar>
              <w:top w:type="dxa" w:w="60"/>
              <w:left w:type="dxa" w:w="80"/>
              <w:bottom w:type="dxa" w:w="60"/>
              <w:right w:type="dxa" w:w="80"/>
            </w:tcMar>
          </w:tcPr>
          <w:p>
            <w:pPr>
              <w:spacing w:after="30" w:line="250"/>
              <w:jc w:val="left"/>
            </w:pPr>
            <w:r>
              <w:rPr>
                <w:b w:val="false"/>
                <w:bCs w:val="false"/>
                <w:color w:val="000000"/>
                <w:sz w:val="17"/>
                <w:szCs w:val="17"/>
              </w:rPr>
              <w:t xml:space="preserve">Trabajo voluntario del equipo (académico, no monetizado).</w:t>
            </w:r>
          </w:p>
        </w:tc>
        <w:tc>
          <w:tcPr>
            <w:tcW w:type="dxa" w:w="2000"/>
            <w:tcMar>
              <w:top w:type="dxa" w:w="60"/>
              <w:left w:type="dxa" w:w="80"/>
              <w:bottom w:type="dxa" w:w="60"/>
              <w:right w:type="dxa" w:w="80"/>
            </w:tcMar>
          </w:tcPr>
          <w:p>
            <w:pPr>
              <w:spacing w:after="30" w:line="250"/>
              <w:jc w:val="left"/>
            </w:pPr>
            <w:r>
              <w:rPr>
                <w:b w:val="false"/>
                <w:bCs w:val="false"/>
                <w:color w:val="000000"/>
                <w:sz w:val="17"/>
                <w:szCs w:val="17"/>
              </w:rPr>
              <w:t xml:space="preserve">0</w:t>
            </w:r>
          </w:p>
        </w:tc>
      </w:tr>
      <w:tr>
        <w:tc>
          <w:tcPr>
            <w:tcW w:type="dxa" w:w="3000"/>
            <w:shd w:fill="F2F2F2" w:color="auto" w:val="clear"/>
            <w:tcMar>
              <w:top w:type="dxa" w:w="60"/>
              <w:left w:type="dxa" w:w="80"/>
              <w:bottom w:type="dxa" w:w="60"/>
              <w:right w:type="dxa" w:w="80"/>
            </w:tcMar>
          </w:tcPr>
          <w:p>
            <w:pPr>
              <w:spacing w:after="30" w:line="250"/>
              <w:jc w:val="left"/>
            </w:pPr>
            <w:r>
              <w:rPr>
                <w:b w:val="false"/>
                <w:bCs w:val="false"/>
                <w:color w:val="000000"/>
                <w:sz w:val="17"/>
                <w:szCs w:val="17"/>
              </w:rPr>
              <w:t xml:space="preserve">Trabajo de campo</w:t>
            </w:r>
          </w:p>
        </w:tc>
        <w:tc>
          <w:tcPr>
            <w:tcW w:type="dxa" w:w="4640"/>
            <w:shd w:fill="F2F2F2" w:color="auto" w:val="clear"/>
            <w:tcMar>
              <w:top w:type="dxa" w:w="60"/>
              <w:left w:type="dxa" w:w="80"/>
              <w:bottom w:type="dxa" w:w="60"/>
              <w:right w:type="dxa" w:w="80"/>
            </w:tcMar>
          </w:tcPr>
          <w:p>
            <w:pPr>
              <w:spacing w:after="30" w:line="250"/>
              <w:jc w:val="left"/>
            </w:pPr>
            <w:r>
              <w:rPr>
                <w:b w:val="false"/>
                <w:bCs w:val="false"/>
                <w:color w:val="000000"/>
                <w:sz w:val="17"/>
                <w:szCs w:val="17"/>
              </w:rPr>
              <w:t xml:space="preserve">Movilización a puntos de aplicación de encuesta.</w:t>
            </w:r>
          </w:p>
        </w:tc>
        <w:tc>
          <w:tcPr>
            <w:tcW w:type="dxa" w:w="2000"/>
            <w:shd w:fill="F2F2F2" w:color="auto" w:val="clear"/>
            <w:tcMar>
              <w:top w:type="dxa" w:w="60"/>
              <w:left w:type="dxa" w:w="80"/>
              <w:bottom w:type="dxa" w:w="60"/>
              <w:right w:type="dxa" w:w="80"/>
            </w:tcMar>
          </w:tcPr>
          <w:p>
            <w:pPr>
              <w:spacing w:after="30" w:line="250"/>
              <w:jc w:val="left"/>
            </w:pPr>
            <w:r>
              <w:rPr>
                <w:b w:val="false"/>
                <w:bCs w:val="false"/>
                <w:color w:val="000000"/>
                <w:sz w:val="17"/>
                <w:szCs w:val="17"/>
              </w:rPr>
              <w:t xml:space="preserve">180</w:t>
            </w:r>
          </w:p>
        </w:tc>
      </w:tr>
      <w:tr>
        <w:tc>
          <w:tcPr>
            <w:tcW w:type="dxa" w:w="3000"/>
            <w:tcMar>
              <w:top w:type="dxa" w:w="60"/>
              <w:left w:type="dxa" w:w="80"/>
              <w:bottom w:type="dxa" w:w="60"/>
              <w:right w:type="dxa" w:w="80"/>
            </w:tcMar>
          </w:tcPr>
          <w:p>
            <w:pPr>
              <w:spacing w:after="30" w:line="250"/>
              <w:jc w:val="left"/>
            </w:pPr>
            <w:r>
              <w:rPr>
                <w:b w:val="false"/>
                <w:bCs w:val="false"/>
                <w:color w:val="000000"/>
                <w:sz w:val="17"/>
                <w:szCs w:val="17"/>
              </w:rPr>
              <w:t xml:space="preserve">Tecnología</w:t>
            </w:r>
          </w:p>
        </w:tc>
        <w:tc>
          <w:tcPr>
            <w:tcW w:type="dxa" w:w="4640"/>
            <w:tcMar>
              <w:top w:type="dxa" w:w="60"/>
              <w:left w:type="dxa" w:w="80"/>
              <w:bottom w:type="dxa" w:w="60"/>
              <w:right w:type="dxa" w:w="80"/>
            </w:tcMar>
          </w:tcPr>
          <w:p>
            <w:pPr>
              <w:spacing w:after="30" w:line="250"/>
              <w:jc w:val="left"/>
            </w:pPr>
            <w:r>
              <w:rPr>
                <w:b w:val="false"/>
                <w:bCs w:val="false"/>
                <w:color w:val="000000"/>
                <w:sz w:val="17"/>
                <w:szCs w:val="17"/>
              </w:rPr>
              <w:t xml:space="preserve">Herramientas de prototipado y publicación (dominio y hosting demo, cuentas premium temporales).</w:t>
            </w:r>
          </w:p>
        </w:tc>
        <w:tc>
          <w:tcPr>
            <w:tcW w:type="dxa" w:w="2000"/>
            <w:tcMar>
              <w:top w:type="dxa" w:w="60"/>
              <w:left w:type="dxa" w:w="80"/>
              <w:bottom w:type="dxa" w:w="60"/>
              <w:right w:type="dxa" w:w="80"/>
            </w:tcMar>
          </w:tcPr>
          <w:p>
            <w:pPr>
              <w:spacing w:after="30" w:line="250"/>
              <w:jc w:val="left"/>
            </w:pPr>
            <w:r>
              <w:rPr>
                <w:b w:val="false"/>
                <w:bCs w:val="false"/>
                <w:color w:val="000000"/>
                <w:sz w:val="17"/>
                <w:szCs w:val="17"/>
              </w:rPr>
              <w:t xml:space="preserve">120</w:t>
            </w:r>
          </w:p>
        </w:tc>
      </w:tr>
      <w:tr>
        <w:tc>
          <w:tcPr>
            <w:tcW w:type="dxa" w:w="3000"/>
            <w:shd w:fill="F2F2F2" w:color="auto" w:val="clear"/>
            <w:tcMar>
              <w:top w:type="dxa" w:w="60"/>
              <w:left w:type="dxa" w:w="80"/>
              <w:bottom w:type="dxa" w:w="60"/>
              <w:right w:type="dxa" w:w="80"/>
            </w:tcMar>
          </w:tcPr>
          <w:p>
            <w:pPr>
              <w:spacing w:after="30" w:line="250"/>
              <w:jc w:val="left"/>
            </w:pPr>
            <w:r>
              <w:rPr>
                <w:b w:val="false"/>
                <w:bCs w:val="false"/>
                <w:color w:val="000000"/>
                <w:sz w:val="17"/>
                <w:szCs w:val="17"/>
              </w:rPr>
              <w:t xml:space="preserve">Materiales</w:t>
            </w:r>
          </w:p>
        </w:tc>
        <w:tc>
          <w:tcPr>
            <w:tcW w:type="dxa" w:w="4640"/>
            <w:shd w:fill="F2F2F2" w:color="auto" w:val="clear"/>
            <w:tcMar>
              <w:top w:type="dxa" w:w="60"/>
              <w:left w:type="dxa" w:w="80"/>
              <w:bottom w:type="dxa" w:w="60"/>
              <w:right w:type="dxa" w:w="80"/>
            </w:tcMar>
          </w:tcPr>
          <w:p>
            <w:pPr>
              <w:spacing w:after="30" w:line="250"/>
              <w:jc w:val="left"/>
            </w:pPr>
            <w:r>
              <w:rPr>
                <w:b w:val="false"/>
                <w:bCs w:val="false"/>
                <w:color w:val="000000"/>
                <w:sz w:val="17"/>
                <w:szCs w:val="17"/>
              </w:rPr>
              <w:t xml:space="preserve">Impresión de instrumentos y consentimiento informado.</w:t>
            </w:r>
          </w:p>
        </w:tc>
        <w:tc>
          <w:tcPr>
            <w:tcW w:type="dxa" w:w="2000"/>
            <w:shd w:fill="F2F2F2" w:color="auto" w:val="clear"/>
            <w:tcMar>
              <w:top w:type="dxa" w:w="60"/>
              <w:left w:type="dxa" w:w="80"/>
              <w:bottom w:type="dxa" w:w="60"/>
              <w:right w:type="dxa" w:w="80"/>
            </w:tcMar>
          </w:tcPr>
          <w:p>
            <w:pPr>
              <w:spacing w:after="30" w:line="250"/>
              <w:jc w:val="left"/>
            </w:pPr>
            <w:r>
              <w:rPr>
                <w:b w:val="false"/>
                <w:bCs w:val="false"/>
                <w:color w:val="000000"/>
                <w:sz w:val="17"/>
                <w:szCs w:val="17"/>
              </w:rPr>
              <w:t xml:space="preserve">40</w:t>
            </w:r>
          </w:p>
        </w:tc>
      </w:tr>
      <w:tr>
        <w:tc>
          <w:tcPr>
            <w:tcW w:type="dxa" w:w="3000"/>
            <w:tcMar>
              <w:top w:type="dxa" w:w="60"/>
              <w:left w:type="dxa" w:w="80"/>
              <w:bottom w:type="dxa" w:w="60"/>
              <w:right w:type="dxa" w:w="80"/>
            </w:tcMar>
          </w:tcPr>
          <w:p>
            <w:pPr>
              <w:spacing w:after="30" w:line="250"/>
              <w:jc w:val="left"/>
            </w:pPr>
            <w:r>
              <w:rPr>
                <w:b w:val="false"/>
                <w:bCs w:val="false"/>
                <w:color w:val="000000"/>
                <w:sz w:val="17"/>
                <w:szCs w:val="17"/>
              </w:rPr>
              <w:t xml:space="preserve">Difusión</w:t>
            </w:r>
          </w:p>
        </w:tc>
        <w:tc>
          <w:tcPr>
            <w:tcW w:type="dxa" w:w="4640"/>
            <w:tcMar>
              <w:top w:type="dxa" w:w="60"/>
              <w:left w:type="dxa" w:w="80"/>
              <w:bottom w:type="dxa" w:w="60"/>
              <w:right w:type="dxa" w:w="80"/>
            </w:tcMar>
          </w:tcPr>
          <w:p>
            <w:pPr>
              <w:spacing w:after="30" w:line="250"/>
              <w:jc w:val="left"/>
            </w:pPr>
            <w:r>
              <w:rPr>
                <w:b w:val="false"/>
                <w:bCs w:val="false"/>
                <w:color w:val="000000"/>
                <w:sz w:val="17"/>
                <w:szCs w:val="17"/>
              </w:rPr>
              <w:t xml:space="preserve">Diseño de piezas para pruebas de usabilidad y presentación.</w:t>
            </w:r>
          </w:p>
        </w:tc>
        <w:tc>
          <w:tcPr>
            <w:tcW w:type="dxa" w:w="2000"/>
            <w:tcMar>
              <w:top w:type="dxa" w:w="60"/>
              <w:left w:type="dxa" w:w="80"/>
              <w:bottom w:type="dxa" w:w="60"/>
              <w:right w:type="dxa" w:w="80"/>
            </w:tcMar>
          </w:tcPr>
          <w:p>
            <w:pPr>
              <w:spacing w:after="30" w:line="250"/>
              <w:jc w:val="left"/>
            </w:pPr>
            <w:r>
              <w:rPr>
                <w:b w:val="false"/>
                <w:bCs w:val="false"/>
                <w:color w:val="000000"/>
                <w:sz w:val="17"/>
                <w:szCs w:val="17"/>
              </w:rPr>
              <w:t xml:space="preserve">60</w:t>
            </w:r>
          </w:p>
        </w:tc>
      </w:tr>
      <w:tr>
        <w:tc>
          <w:tcPr>
            <w:tcW w:type="dxa" w:w="3000"/>
            <w:shd w:fill="EDE7F6" w:color="auto" w:val="clear"/>
            <w:tcMar>
              <w:top w:type="dxa" w:w="60"/>
              <w:left w:type="dxa" w:w="80"/>
              <w:bottom w:type="dxa" w:w="60"/>
              <w:right w:type="dxa" w:w="80"/>
            </w:tcMar>
          </w:tcPr>
          <w:p>
            <w:pPr>
              <w:spacing w:after="30" w:line="250"/>
              <w:jc w:val="left"/>
            </w:pPr>
            <w:r>
              <w:rPr>
                <w:b w:val="false"/>
                <w:bCs w:val="false"/>
                <w:color w:val="000000"/>
                <w:sz w:val="17"/>
                <w:szCs w:val="17"/>
              </w:rPr>
              <w:t xml:space="preserve">Total</w:t>
            </w:r>
          </w:p>
        </w:tc>
        <w:tc>
          <w:tcPr>
            <w:tcW w:type="dxa" w:w="4640"/>
            <w:shd w:fill="EDE7F6" w:color="auto" w:val="clear"/>
            <w:tcMar>
              <w:top w:type="dxa" w:w="60"/>
              <w:left w:type="dxa" w:w="80"/>
              <w:bottom w:type="dxa" w:w="60"/>
              <w:right w:type="dxa" w:w="80"/>
            </w:tcMar>
          </w:tcPr>
          <w:p>
            <w:pPr>
              <w:spacing w:after="30" w:line="250"/>
              <w:jc w:val="left"/>
            </w:pPr>
            <w:r>
              <w:rPr>
                <w:b w:val="false"/>
                <w:bCs w:val="false"/>
                <w:color w:val="000000"/>
                <w:sz w:val="17"/>
                <w:szCs w:val="17"/>
              </w:rPr>
              <w:t xml:space="preserve"/>
            </w:r>
          </w:p>
        </w:tc>
        <w:tc>
          <w:tcPr>
            <w:tcW w:type="dxa" w:w="2000"/>
            <w:shd w:fill="EDE7F6" w:color="auto" w:val="clear"/>
            <w:tcMar>
              <w:top w:type="dxa" w:w="60"/>
              <w:left w:type="dxa" w:w="80"/>
              <w:bottom w:type="dxa" w:w="60"/>
              <w:right w:type="dxa" w:w="80"/>
            </w:tcMar>
          </w:tcPr>
          <w:p>
            <w:pPr>
              <w:spacing w:after="30" w:line="250"/>
              <w:jc w:val="left"/>
            </w:pPr>
            <w:r>
              <w:rPr>
                <w:b w:val="false"/>
                <w:bCs w:val="false"/>
                <w:color w:val="000000"/>
                <w:sz w:val="17"/>
                <w:szCs w:val="17"/>
              </w:rPr>
              <w:t xml:space="preserve">400</w:t>
            </w:r>
          </w:p>
        </w:tc>
      </w:tr>
    </w:tbl>
    <w:p>
      <w:pPr>
        <w:spacing w:after="100" w:line="264"/>
        <w:jc w:val="both"/>
      </w:pPr>
      <w:r>
        <w:rPr>
          <w:b w:val="false"/>
          <w:bCs w:val="false"/>
          <w:i w:val="false"/>
          <w:iCs w:val="false"/>
          <w:color w:val="000000"/>
          <w:sz w:val="20"/>
          <w:szCs w:val="20"/>
        </w:rPr>
        <w:t xml:space="preserve">El presupuesto referencial corresponde al alcance académico. Un estudio de escalamiento para la implementación real (interoperabilidad productiva, ciberseguridad, capacitación y soporte) queda como recomendación al MAG y no forma parte de esta iniciativa.</w:t>
      </w:r>
    </w:p>
    <w:p>
      <w:pPr>
        <w:spacing w:after="60" w:before="180"/>
      </w:pPr>
      <w:r>
        <w:rPr>
          <w:b/>
          <w:bCs/>
          <w:color w:val="5B2D90"/>
          <w:sz w:val="22"/>
          <w:szCs w:val="22"/>
        </w:rPr>
        <w:t xml:space="preserve">13. Prototipo visual</w:t>
      </w:r>
    </w:p>
    <w:p>
      <w:pPr>
        <w:spacing w:after="100" w:line="264"/>
        <w:jc w:val="both"/>
      </w:pPr>
      <w:r>
        <w:rPr>
          <w:b w:val="false"/>
          <w:bCs w:val="false"/>
          <w:i w:val="false"/>
          <w:iCs w:val="false"/>
          <w:color w:val="000000"/>
          <w:sz w:val="20"/>
          <w:szCs w:val="20"/>
        </w:rPr>
        <w:t xml:space="preserve">Se acompaña como anexo un prototipo funcional publicado en la web, construido en HTML, CSS y JavaScript con bases de datos ficticias que simulan la consulta interoperable a cinco entidades del Estado ecuatoriano (Registro Civil, SRI, IESS, Registro de la Propiedad y Agrocalidad). El prototipo permite recorrer los flujos principales del productor (identificación, autollenado por interoperabilidad, carga de documentos, firma electrónica y seguimiento) y del funcionario del MAG (bandeja de expedientes, verificación, aprobación y observaciones), así como el tablero de indicadores con comparativo antes y después.</w:t>
      </w:r>
    </w:p>
    <w:p>
      <w:pPr>
        <w:pStyle w:val="ListParagraph"/>
        <w:numPr>
          <w:ilvl w:val="0"/>
          <w:numId w:val="2"/>
        </w:numPr>
        <w:spacing w:after="40" w:line="264"/>
        <w:jc w:val="both"/>
      </w:pPr>
      <w:r>
        <w:rPr>
          <w:b/>
          <w:bCs/>
          <w:sz w:val="20"/>
          <w:szCs w:val="20"/>
        </w:rPr>
        <w:t xml:space="preserve">URL del prototipo: </w:t>
      </w:r>
      <w:r>
        <w:rPr>
          <w:sz w:val="20"/>
          <w:szCs w:val="20"/>
        </w:rPr>
        <w:t xml:space="preserve">[insertar enlace del artefacto publicado].</w:t>
      </w:r>
    </w:p>
    <w:p>
      <w:pPr>
        <w:pStyle w:val="ListParagraph"/>
        <w:numPr>
          <w:ilvl w:val="0"/>
          <w:numId w:val="2"/>
        </w:numPr>
        <w:spacing w:after="40" w:line="264"/>
        <w:jc w:val="both"/>
      </w:pPr>
      <w:r>
        <w:rPr>
          <w:b/>
          <w:bCs/>
          <w:sz w:val="20"/>
          <w:szCs w:val="20"/>
        </w:rPr>
        <w:t xml:space="preserve">Repositorio del código: </w:t>
      </w:r>
      <w:r>
        <w:rPr>
          <w:sz w:val="20"/>
          <w:szCs w:val="20"/>
        </w:rPr>
        <w:t xml:space="preserve">[insertar URL del repositorio en GitHub].</w:t>
      </w:r>
    </w:p>
    <w:p>
      <w:pPr>
        <w:pStyle w:val="ListParagraph"/>
        <w:numPr>
          <w:ilvl w:val="0"/>
          <w:numId w:val="2"/>
        </w:numPr>
        <w:spacing w:after="40" w:line="264"/>
        <w:jc w:val="both"/>
      </w:pPr>
      <w:r>
        <w:rPr>
          <w:b/>
          <w:bCs/>
          <w:sz w:val="20"/>
          <w:szCs w:val="20"/>
        </w:rPr>
        <w:t xml:space="preserve">Cédulas ficticias de prueba: </w:t>
      </w:r>
      <w:r>
        <w:rPr>
          <w:sz w:val="20"/>
          <w:szCs w:val="20"/>
        </w:rPr>
        <w:t xml:space="preserve">0912345678 (María Cedeño — El Oro), 0701234567 (Luis Montaño — Los Ríos), 1305678901 (Rosa Zambrano — Manabí).</w:t>
      </w:r>
    </w:p>
    <w:p>
      <w:pPr>
        <w:spacing w:after="60" w:before="180"/>
      </w:pPr>
      <w:r>
        <w:rPr>
          <w:b/>
          <w:bCs/>
          <w:color w:val="5B2D90"/>
          <w:sz w:val="22"/>
          <w:szCs w:val="22"/>
        </w:rPr>
        <w:t xml:space="preserve">Anexos que soportan el brief</w:t>
      </w:r>
    </w:p>
    <w:p>
      <w:pPr>
        <w:pStyle w:val="ListParagraph"/>
        <w:numPr>
          <w:ilvl w:val="0"/>
          <w:numId w:val="2"/>
        </w:numPr>
        <w:spacing w:after="40" w:line="264"/>
        <w:jc w:val="both"/>
      </w:pPr>
      <w:r>
        <w:rPr>
          <w:sz w:val="20"/>
          <w:szCs w:val="20"/>
        </w:rPr>
        <w:t xml:space="preserve">Anexo A — Matriz de diseño de la investigación (10 preguntas).</w:t>
      </w:r>
    </w:p>
    <w:p>
      <w:pPr>
        <w:pStyle w:val="ListParagraph"/>
        <w:numPr>
          <w:ilvl w:val="0"/>
          <w:numId w:val="2"/>
        </w:numPr>
        <w:spacing w:after="40" w:line="264"/>
        <w:jc w:val="both"/>
      </w:pPr>
      <w:r>
        <w:rPr>
          <w:sz w:val="20"/>
          <w:szCs w:val="20"/>
        </w:rPr>
        <w:t xml:space="preserve">Anexo B — Guion de entrevista semiestructurada a productores (18 preguntas).</w:t>
      </w:r>
    </w:p>
    <w:p>
      <w:pPr>
        <w:pStyle w:val="ListParagraph"/>
        <w:numPr>
          <w:ilvl w:val="0"/>
          <w:numId w:val="2"/>
        </w:numPr>
        <w:spacing w:after="40" w:line="264"/>
        <w:jc w:val="both"/>
      </w:pPr>
      <w:r>
        <w:rPr>
          <w:sz w:val="20"/>
          <w:szCs w:val="20"/>
        </w:rPr>
        <w:t xml:space="preserve">Anexo C — Guion de entrevista a funcionarios del MAG (16 preguntas).</w:t>
      </w:r>
    </w:p>
    <w:p>
      <w:pPr>
        <w:pStyle w:val="ListParagraph"/>
        <w:numPr>
          <w:ilvl w:val="0"/>
          <w:numId w:val="2"/>
        </w:numPr>
        <w:spacing w:after="40" w:line="264"/>
        <w:jc w:val="both"/>
      </w:pPr>
      <w:r>
        <w:rPr>
          <w:sz w:val="20"/>
          <w:szCs w:val="20"/>
        </w:rPr>
        <w:t xml:space="preserve">Anexo D — Encuesta estructurada a productores (27 preguntas, publicada en Google Forms).</w:t>
      </w:r>
    </w:p>
    <w:p>
      <w:pPr>
        <w:pStyle w:val="ListParagraph"/>
        <w:numPr>
          <w:ilvl w:val="0"/>
          <w:numId w:val="2"/>
        </w:numPr>
        <w:spacing w:after="40" w:line="264"/>
        <w:jc w:val="both"/>
      </w:pPr>
      <w:r>
        <w:rPr>
          <w:sz w:val="20"/>
          <w:szCs w:val="20"/>
        </w:rPr>
        <w:t xml:space="preserve">Anexo E — Ficha de observación en ventanilla.</w:t>
      </w:r>
    </w:p>
    <w:p>
      <w:pPr>
        <w:pStyle w:val="ListParagraph"/>
        <w:numPr>
          <w:ilvl w:val="0"/>
          <w:numId w:val="2"/>
        </w:numPr>
        <w:spacing w:after="40" w:line="264"/>
        <w:jc w:val="both"/>
      </w:pPr>
      <w:r>
        <w:rPr>
          <w:sz w:val="20"/>
          <w:szCs w:val="20"/>
        </w:rPr>
        <w:t xml:space="preserve">Anexo F — Mapa de experiencia del trámite (customer journey AS-IS y TO-BE).</w:t>
      </w:r>
    </w:p>
    <w:p>
      <w:pPr>
        <w:pStyle w:val="ListParagraph"/>
        <w:numPr>
          <w:ilvl w:val="0"/>
          <w:numId w:val="2"/>
        </w:numPr>
        <w:spacing w:after="40" w:line="264"/>
        <w:jc w:val="both"/>
      </w:pPr>
      <w:r>
        <w:rPr>
          <w:sz w:val="20"/>
          <w:szCs w:val="20"/>
        </w:rPr>
        <w:t xml:space="preserve">Anexo G — Criterios de valoración (eficiencia, eficacia, igualdad, calidad, transparencia, sostenibilidad).</w:t>
      </w:r>
    </w:p>
    <w:p>
      <w:pPr>
        <w:pStyle w:val="ListParagraph"/>
        <w:numPr>
          <w:ilvl w:val="0"/>
          <w:numId w:val="2"/>
        </w:numPr>
        <w:spacing w:after="40" w:line="264"/>
        <w:jc w:val="both"/>
      </w:pPr>
      <w:r>
        <w:rPr>
          <w:sz w:val="20"/>
          <w:szCs w:val="20"/>
        </w:rPr>
        <w:t xml:space="preserve">Anexo H — Tablero de 30 indicadores con línea base y meta (libro Excel).</w:t>
      </w:r>
    </w:p>
    <w:p>
      <w:pPr>
        <w:pStyle w:val="ListParagraph"/>
        <w:numPr>
          <w:ilvl w:val="0"/>
          <w:numId w:val="2"/>
        </w:numPr>
        <w:spacing w:after="40" w:line="264"/>
        <w:jc w:val="both"/>
      </w:pPr>
      <w:r>
        <w:rPr>
          <w:sz w:val="20"/>
          <w:szCs w:val="20"/>
        </w:rPr>
        <w:t xml:space="preserve">Anexo I — Matriz de priorización de ideas (impacto/esfuerzo/equidad).</w:t>
      </w:r>
    </w:p>
    <w:p>
      <w:pPr>
        <w:pStyle w:val="ListParagraph"/>
        <w:numPr>
          <w:ilvl w:val="0"/>
          <w:numId w:val="2"/>
        </w:numPr>
        <w:spacing w:after="40" w:line="264"/>
        <w:jc w:val="both"/>
      </w:pPr>
      <w:r>
        <w:rPr>
          <w:sz w:val="20"/>
          <w:szCs w:val="20"/>
        </w:rPr>
        <w:t xml:space="preserve">Anexo J — Protocolo de prueba de usabilidad del prototipo.</w:t>
      </w:r>
    </w:p>
    <w:p>
      <w:pPr>
        <w:pStyle w:val="ListParagraph"/>
        <w:numPr>
          <w:ilvl w:val="0"/>
          <w:numId w:val="2"/>
        </w:numPr>
        <w:spacing w:after="40" w:line="264"/>
        <w:jc w:val="both"/>
      </w:pPr>
      <w:r>
        <w:rPr>
          <w:sz w:val="20"/>
          <w:szCs w:val="20"/>
        </w:rPr>
        <w:t xml:space="preserve">Anexo K — Cuestionario de satisfacción y usabilidad post-prueba.</w:t>
      </w:r>
    </w:p>
    <w:p>
      <w:pPr>
        <w:pStyle w:val="ListParagraph"/>
        <w:numPr>
          <w:ilvl w:val="0"/>
          <w:numId w:val="2"/>
        </w:numPr>
        <w:spacing w:after="40" w:line="264"/>
        <w:jc w:val="both"/>
      </w:pPr>
      <w:r>
        <w:rPr>
          <w:sz w:val="20"/>
          <w:szCs w:val="20"/>
        </w:rPr>
        <w:t xml:space="preserve">Anexo L — Plan de campo, muestreo y consentimiento informado.</w:t>
      </w:r>
    </w:p>
    <w:p>
      <w:pPr>
        <w:pStyle w:val="ListParagraph"/>
        <w:numPr>
          <w:ilvl w:val="0"/>
          <w:numId w:val="2"/>
        </w:numPr>
        <w:spacing w:after="40" w:line="264"/>
        <w:jc w:val="both"/>
      </w:pPr>
      <w:r>
        <w:rPr>
          <w:sz w:val="20"/>
          <w:szCs w:val="20"/>
        </w:rPr>
        <w:t xml:space="preserve">Anexo M — Árbol de problemas y 5 por qué.</w:t>
      </w:r>
    </w:p>
    <w:p>
      <w:pPr>
        <w:pStyle w:val="ListParagraph"/>
        <w:numPr>
          <w:ilvl w:val="0"/>
          <w:numId w:val="2"/>
        </w:numPr>
        <w:spacing w:after="40" w:line="264"/>
        <w:jc w:val="both"/>
      </w:pPr>
      <w:r>
        <w:rPr>
          <w:sz w:val="20"/>
          <w:szCs w:val="20"/>
        </w:rPr>
        <w:t xml:space="preserve">Anexo N — Ficha oficial del subproceso MAG-SFM-P03-SP01 (línea base AS-IS).</w:t>
      </w:r>
    </w:p>
    <w:p>
      <w:pPr>
        <w:pStyle w:val="ListParagraph"/>
        <w:numPr>
          <w:ilvl w:val="0"/>
          <w:numId w:val="2"/>
        </w:numPr>
        <w:spacing w:after="40" w:line="264"/>
        <w:jc w:val="both"/>
      </w:pPr>
      <w:r>
        <w:rPr>
          <w:sz w:val="20"/>
          <w:szCs w:val="20"/>
        </w:rPr>
        <w:t xml:space="preserve">Anexo O — Cronograma detallado (archivo adjunto: cronograma.xlsx).</w:t>
      </w:r>
    </w:p>
    <w:p>
      <w:pPr>
        <w:pBdr>
          <w:top w:val="single" w:color="9E9E9E" w:sz="6" w:space="6"/>
        </w:pBdr>
        <w:spacing w:before="200"/>
      </w:pPr>
      <w:r>
        <w:rPr>
          <w:i/>
          <w:iCs/>
          <w:color w:val="555555"/>
          <w:sz w:val="16"/>
          <w:szCs w:val="16"/>
        </w:rPr>
        <w:t xml:space="preserve">Brief AgroRegistro 360 · Equipo #2 · Diplomado 2026 · Documento máximo 9 páginas.</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 AgroRegistro 360</dc:title>
  <dc:creator>Equipo 2 - Transicion digital en la administracion publica</dc:creator>
  <cp:lastModifiedBy>Un-named</cp:lastModifiedBy>
  <cp:revision>1</cp:revision>
  <dcterms:created xsi:type="dcterms:W3CDTF">2026-09-28T02:10:52.884Z</dcterms:created>
  <dcterms:modified xsi:type="dcterms:W3CDTF">2026-09-28T02:10:52.893Z</dcterms:modified>
</cp:coreProperties>
</file>

<file path=docProps/custom.xml><?xml version="1.0" encoding="utf-8"?>
<Properties xmlns="http://schemas.openxmlformats.org/officeDocument/2006/custom-properties" xmlns:vt="http://schemas.openxmlformats.org/officeDocument/2006/docPropsVTypes"/>
</file>